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F6" w:rsidRPr="00993DF6" w:rsidRDefault="00993DF6" w:rsidP="00BC7394">
      <w:pPr>
        <w:tabs>
          <w:tab w:val="left" w:pos="8931"/>
        </w:tabs>
        <w:rPr>
          <w:sz w:val="28"/>
          <w:szCs w:val="28"/>
          <w:lang w:val="lv-LV"/>
        </w:rPr>
      </w:pPr>
    </w:p>
    <w:p w:rsidR="00993DF6" w:rsidRPr="002E50F7" w:rsidRDefault="00993DF6" w:rsidP="00BC7394">
      <w:pPr>
        <w:tabs>
          <w:tab w:val="left" w:pos="8931"/>
        </w:tabs>
        <w:rPr>
          <w:sz w:val="28"/>
          <w:szCs w:val="28"/>
          <w:lang w:val="lv-LV"/>
        </w:rPr>
      </w:pPr>
    </w:p>
    <w:p w:rsidR="00993DF6" w:rsidRPr="002E50F7" w:rsidRDefault="00993DF6" w:rsidP="00BC7394">
      <w:pPr>
        <w:tabs>
          <w:tab w:val="left" w:pos="8931"/>
        </w:tabs>
        <w:jc w:val="both"/>
        <w:rPr>
          <w:sz w:val="28"/>
          <w:szCs w:val="28"/>
          <w:lang w:val="lv-LV"/>
        </w:rPr>
      </w:pPr>
    </w:p>
    <w:p w:rsidR="00EC2E3B" w:rsidRDefault="00EC2E3B" w:rsidP="00EC2E3B">
      <w:pPr>
        <w:tabs>
          <w:tab w:val="left" w:pos="4536"/>
        </w:tabs>
        <w:jc w:val="center"/>
        <w:rPr>
          <w:b/>
          <w:sz w:val="40"/>
          <w:szCs w:val="40"/>
          <w:lang w:val="lv-LV"/>
        </w:rPr>
      </w:pPr>
      <w:r>
        <w:rPr>
          <w:b/>
          <w:noProof/>
          <w:sz w:val="40"/>
          <w:szCs w:val="40"/>
          <w:lang w:val="lv-LV"/>
        </w:rPr>
        <w:drawing>
          <wp:anchor distT="0" distB="0" distL="114300" distR="114300" simplePos="0" relativeHeight="251659264" behindDoc="1" locked="0" layoutInCell="1" allowOverlap="1" wp14:anchorId="0BF65D1E" wp14:editId="055F0053">
            <wp:simplePos x="0" y="0"/>
            <wp:positionH relativeFrom="page">
              <wp:posOffset>1133475</wp:posOffset>
            </wp:positionH>
            <wp:positionV relativeFrom="page">
              <wp:posOffset>742950</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EC2E3B" w:rsidRPr="004C174C" w:rsidRDefault="00EC2E3B" w:rsidP="00EC2E3B">
      <w:pPr>
        <w:tabs>
          <w:tab w:val="left" w:pos="8931"/>
        </w:tabs>
        <w:jc w:val="center"/>
        <w:rPr>
          <w:b/>
          <w:sz w:val="32"/>
          <w:szCs w:val="32"/>
          <w:lang w:val="lv-LV"/>
        </w:rPr>
      </w:pPr>
    </w:p>
    <w:p w:rsidR="00EC2E3B" w:rsidRDefault="00EC2E3B" w:rsidP="00EC2E3B">
      <w:pPr>
        <w:tabs>
          <w:tab w:val="left" w:pos="8931"/>
        </w:tabs>
        <w:jc w:val="center"/>
        <w:rPr>
          <w:b/>
          <w:sz w:val="32"/>
          <w:szCs w:val="32"/>
          <w:lang w:val="lv-LV"/>
        </w:rPr>
      </w:pPr>
    </w:p>
    <w:p w:rsidR="005C77EF" w:rsidRDefault="005C77EF" w:rsidP="00BC7394">
      <w:pPr>
        <w:tabs>
          <w:tab w:val="left" w:pos="8931"/>
        </w:tabs>
        <w:jc w:val="center"/>
        <w:rPr>
          <w:b/>
          <w:sz w:val="18"/>
          <w:szCs w:val="18"/>
          <w:lang w:val="lv-LV"/>
        </w:rPr>
      </w:pPr>
    </w:p>
    <w:p w:rsidR="00F04B15" w:rsidRPr="000A3243" w:rsidRDefault="00F04B15" w:rsidP="00BC7394">
      <w:pPr>
        <w:tabs>
          <w:tab w:val="left" w:pos="8931"/>
        </w:tabs>
        <w:jc w:val="center"/>
        <w:rPr>
          <w:b/>
          <w:sz w:val="18"/>
          <w:szCs w:val="18"/>
          <w:lang w:val="lv-LV"/>
        </w:rPr>
      </w:pPr>
    </w:p>
    <w:p w:rsidR="003E1B46" w:rsidRDefault="00F30389" w:rsidP="00A24636">
      <w:pPr>
        <w:jc w:val="center"/>
        <w:rPr>
          <w:b/>
          <w:sz w:val="28"/>
          <w:szCs w:val="28"/>
          <w:lang w:val="lv-LV"/>
        </w:rPr>
      </w:pPr>
      <w:r w:rsidRPr="00614C44">
        <w:rPr>
          <w:b/>
          <w:sz w:val="28"/>
          <w:szCs w:val="28"/>
          <w:lang w:val="lv-LV"/>
        </w:rPr>
        <w:t>Informatīvais materiāls p</w:t>
      </w:r>
      <w:r w:rsidR="009D0064" w:rsidRPr="00614C44">
        <w:rPr>
          <w:b/>
          <w:sz w:val="28"/>
          <w:szCs w:val="28"/>
          <w:lang w:val="lv-LV"/>
        </w:rPr>
        <w:t xml:space="preserve">ar </w:t>
      </w:r>
      <w:r w:rsidR="00C55761">
        <w:rPr>
          <w:b/>
          <w:sz w:val="28"/>
          <w:szCs w:val="28"/>
          <w:lang w:val="lv-LV"/>
        </w:rPr>
        <w:t>uzņēmumu ienākuma nodokļa piemērošanu maksājumiem personām, kuras atrodas, ir izveidotas vai nodibinātas zemu nodokļu vai beznodokļu valstīs vai teritorijās</w:t>
      </w:r>
    </w:p>
    <w:p w:rsidR="00C55761" w:rsidRPr="00614C44" w:rsidRDefault="00C55761" w:rsidP="00A24636">
      <w:pPr>
        <w:jc w:val="center"/>
        <w:rPr>
          <w:b/>
          <w:sz w:val="28"/>
          <w:szCs w:val="28"/>
          <w:lang w:val="lv-LV"/>
        </w:rPr>
      </w:pPr>
    </w:p>
    <w:p w:rsidR="00C55761" w:rsidRDefault="00C55761" w:rsidP="00BC7394">
      <w:pPr>
        <w:tabs>
          <w:tab w:val="left" w:pos="8931"/>
        </w:tabs>
        <w:jc w:val="center"/>
        <w:rPr>
          <w:b/>
          <w:sz w:val="24"/>
          <w:szCs w:val="24"/>
          <w:lang w:val="lv-LV"/>
        </w:rPr>
      </w:pPr>
    </w:p>
    <w:p w:rsidR="009E2A21" w:rsidRDefault="002E44B5" w:rsidP="009E2A21">
      <w:pPr>
        <w:tabs>
          <w:tab w:val="left" w:pos="8931"/>
        </w:tabs>
        <w:jc w:val="center"/>
        <w:rPr>
          <w:b/>
          <w:sz w:val="24"/>
          <w:szCs w:val="24"/>
          <w:lang w:val="lv-LV"/>
        </w:rPr>
      </w:pPr>
      <w:r>
        <w:rPr>
          <w:b/>
          <w:sz w:val="24"/>
          <w:szCs w:val="24"/>
          <w:lang w:val="lv-LV"/>
        </w:rPr>
        <w:t>Uzņēmumu ienākuma n</w:t>
      </w:r>
      <w:r w:rsidR="009E2A21" w:rsidRPr="009E2A21">
        <w:rPr>
          <w:b/>
          <w:sz w:val="24"/>
          <w:szCs w:val="24"/>
          <w:lang w:val="lv-LV"/>
        </w:rPr>
        <w:t>odokļa ieturēšana</w:t>
      </w:r>
    </w:p>
    <w:p w:rsidR="009E2A21" w:rsidRPr="009E2A21" w:rsidRDefault="009E2A21" w:rsidP="009E2A21">
      <w:pPr>
        <w:tabs>
          <w:tab w:val="left" w:pos="8931"/>
        </w:tabs>
        <w:jc w:val="center"/>
        <w:rPr>
          <w:b/>
          <w:sz w:val="24"/>
          <w:szCs w:val="24"/>
          <w:lang w:val="lv-LV"/>
        </w:rPr>
      </w:pPr>
    </w:p>
    <w:p w:rsidR="00172354" w:rsidRDefault="00C55761" w:rsidP="0099355B">
      <w:pPr>
        <w:tabs>
          <w:tab w:val="left" w:pos="8931"/>
        </w:tabs>
        <w:ind w:firstLine="426"/>
        <w:jc w:val="both"/>
        <w:rPr>
          <w:sz w:val="24"/>
          <w:szCs w:val="24"/>
          <w:lang w:val="lv-LV"/>
        </w:rPr>
      </w:pPr>
      <w:r>
        <w:rPr>
          <w:sz w:val="24"/>
          <w:szCs w:val="24"/>
          <w:lang w:val="lv-LV"/>
        </w:rPr>
        <w:t>U</w:t>
      </w:r>
      <w:r w:rsidRPr="00C55761">
        <w:rPr>
          <w:sz w:val="24"/>
          <w:szCs w:val="24"/>
          <w:lang w:val="lv-LV"/>
        </w:rPr>
        <w:t xml:space="preserve">zņēmumu ienākuma nodokli, piemērojot </w:t>
      </w:r>
      <w:r w:rsidRPr="000C3BA3">
        <w:rPr>
          <w:b/>
          <w:sz w:val="24"/>
          <w:szCs w:val="24"/>
          <w:lang w:val="lv-LV"/>
        </w:rPr>
        <w:t>20 procentu likmi</w:t>
      </w:r>
      <w:r w:rsidRPr="00C55761">
        <w:rPr>
          <w:sz w:val="24"/>
          <w:szCs w:val="24"/>
          <w:lang w:val="lv-LV"/>
        </w:rPr>
        <w:t xml:space="preserve">, </w:t>
      </w:r>
      <w:r w:rsidR="00172354">
        <w:rPr>
          <w:sz w:val="24"/>
          <w:szCs w:val="24"/>
          <w:lang w:val="lv-LV"/>
        </w:rPr>
        <w:t xml:space="preserve">izmaksas brīdī </w:t>
      </w:r>
      <w:r w:rsidRPr="00C55761">
        <w:rPr>
          <w:sz w:val="24"/>
          <w:szCs w:val="24"/>
          <w:lang w:val="lv-LV"/>
        </w:rPr>
        <w:t>ietur no visiem maksājumiem un dividendēm, ko Latvijas</w:t>
      </w:r>
      <w:r>
        <w:rPr>
          <w:sz w:val="24"/>
          <w:szCs w:val="24"/>
          <w:lang w:val="lv-LV"/>
        </w:rPr>
        <w:t xml:space="preserve"> </w:t>
      </w:r>
      <w:r w:rsidRPr="00C55761">
        <w:rPr>
          <w:sz w:val="24"/>
          <w:szCs w:val="24"/>
          <w:lang w:val="lv-LV"/>
        </w:rPr>
        <w:t xml:space="preserve">rezidenti vai nerezidentu pastāvīgās pārstāvniecības izmaksā </w:t>
      </w:r>
      <w:r w:rsidRPr="000C3BA3">
        <w:rPr>
          <w:b/>
          <w:sz w:val="24"/>
          <w:szCs w:val="24"/>
          <w:lang w:val="lv-LV"/>
        </w:rPr>
        <w:t>juridiskajām, fiziskajām un citām personām, kuras atrodas, ir izveidotas vai nodibinātas zemu nodokļu vai beznodokļu valstīs vai teritorijās,</w:t>
      </w:r>
      <w:r w:rsidRPr="00C55761">
        <w:rPr>
          <w:sz w:val="24"/>
          <w:szCs w:val="24"/>
          <w:lang w:val="lv-LV"/>
        </w:rPr>
        <w:t xml:space="preserve"> ieskaitot maksājumus šo</w:t>
      </w:r>
      <w:r>
        <w:rPr>
          <w:sz w:val="24"/>
          <w:szCs w:val="24"/>
          <w:lang w:val="lv-LV"/>
        </w:rPr>
        <w:t xml:space="preserve"> </w:t>
      </w:r>
      <w:r w:rsidRPr="00C55761">
        <w:rPr>
          <w:sz w:val="24"/>
          <w:szCs w:val="24"/>
          <w:lang w:val="lv-LV"/>
        </w:rPr>
        <w:t>personu pārstāvjiem vai maksājumus trešo personu banku kontos un maksājumus, kas veikti savstarpēja norēķinu</w:t>
      </w:r>
      <w:r w:rsidR="0099355B">
        <w:rPr>
          <w:sz w:val="24"/>
          <w:szCs w:val="24"/>
          <w:lang w:val="lv-LV"/>
        </w:rPr>
        <w:t xml:space="preserve"> </w:t>
      </w:r>
      <w:r w:rsidRPr="00C55761">
        <w:rPr>
          <w:sz w:val="24"/>
          <w:szCs w:val="24"/>
          <w:lang w:val="lv-LV"/>
        </w:rPr>
        <w:t>ieskaita veidā, izņemot</w:t>
      </w:r>
      <w:r w:rsidR="00172354">
        <w:rPr>
          <w:sz w:val="24"/>
          <w:szCs w:val="24"/>
          <w:lang w:val="lv-LV"/>
        </w:rPr>
        <w:t>:</w:t>
      </w:r>
    </w:p>
    <w:p w:rsidR="00172354" w:rsidRDefault="00C55761" w:rsidP="00172354">
      <w:pPr>
        <w:pStyle w:val="ListParagraph"/>
        <w:numPr>
          <w:ilvl w:val="0"/>
          <w:numId w:val="3"/>
        </w:numPr>
        <w:tabs>
          <w:tab w:val="left" w:pos="8931"/>
        </w:tabs>
        <w:jc w:val="both"/>
        <w:rPr>
          <w:sz w:val="24"/>
          <w:szCs w:val="24"/>
          <w:lang w:val="lv-LV"/>
        </w:rPr>
      </w:pPr>
      <w:r w:rsidRPr="00172354">
        <w:rPr>
          <w:sz w:val="24"/>
          <w:szCs w:val="24"/>
          <w:lang w:val="lv-LV"/>
        </w:rPr>
        <w:t xml:space="preserve">maksājumus par preču piegādēm un iegādātajiem Eiropas Savienības vai Eiropas Ekonomikas zonas publiskās apgrozības vērtspapīriem, ja šīs preces un vērtspapīri tiek iegādāti par tirgus cenām (Uzņēmumu ienākuma nodokļa likuma 5.panta sestā daļa). </w:t>
      </w:r>
    </w:p>
    <w:p w:rsidR="0099355B" w:rsidRPr="00172354" w:rsidRDefault="00C55761" w:rsidP="00172354">
      <w:pPr>
        <w:pStyle w:val="ListParagraph"/>
        <w:tabs>
          <w:tab w:val="left" w:pos="8931"/>
        </w:tabs>
        <w:ind w:left="0" w:firstLine="786"/>
        <w:jc w:val="both"/>
        <w:rPr>
          <w:sz w:val="24"/>
          <w:szCs w:val="24"/>
          <w:lang w:val="lv-LV"/>
        </w:rPr>
      </w:pPr>
      <w:r w:rsidRPr="00172354">
        <w:rPr>
          <w:sz w:val="24"/>
          <w:szCs w:val="24"/>
          <w:lang w:val="lv-LV"/>
        </w:rPr>
        <w:t>Tostarp nodoklis ir ieturams arī no procentu maksājumiem un maksājumiem par intelektuālo īpašumu pēc 20 procentu likmes,</w:t>
      </w:r>
      <w:r w:rsidRPr="00172354">
        <w:rPr>
          <w:lang w:val="lv-LV"/>
        </w:rPr>
        <w:t xml:space="preserve"> </w:t>
      </w:r>
      <w:r w:rsidRPr="00172354">
        <w:rPr>
          <w:sz w:val="24"/>
          <w:szCs w:val="24"/>
          <w:lang w:val="lv-LV"/>
        </w:rPr>
        <w:t>ja vien no šādiem maksājumiem nav jāietur iedzīvotāju ienākuma nodoklis</w:t>
      </w:r>
      <w:r w:rsidR="009E2A21" w:rsidRPr="00172354">
        <w:rPr>
          <w:sz w:val="24"/>
          <w:szCs w:val="24"/>
          <w:lang w:val="lv-LV"/>
        </w:rPr>
        <w:t xml:space="preserve"> (Uzņēmumu ienākuma nodokļa likuma 5.panta astotā daļa).</w:t>
      </w:r>
      <w:r w:rsidR="0099355B" w:rsidRPr="00172354">
        <w:rPr>
          <w:lang w:val="lv-LV"/>
        </w:rPr>
        <w:t xml:space="preserve"> </w:t>
      </w:r>
    </w:p>
    <w:p w:rsidR="00C55761" w:rsidRDefault="004B68DF" w:rsidP="0099355B">
      <w:pPr>
        <w:tabs>
          <w:tab w:val="left" w:pos="8931"/>
        </w:tabs>
        <w:ind w:firstLine="426"/>
        <w:jc w:val="both"/>
        <w:rPr>
          <w:sz w:val="24"/>
          <w:szCs w:val="24"/>
          <w:lang w:val="lv-LV"/>
        </w:rPr>
      </w:pPr>
      <w:r w:rsidRPr="004B68DF">
        <w:rPr>
          <w:sz w:val="26"/>
          <w:szCs w:val="26"/>
          <w:lang w:val="lv-LV"/>
        </w:rPr>
        <w:t>J</w:t>
      </w:r>
      <w:r w:rsidR="0099355B" w:rsidRPr="004B68DF">
        <w:rPr>
          <w:sz w:val="26"/>
          <w:szCs w:val="26"/>
          <w:lang w:val="lv-LV"/>
        </w:rPr>
        <w:t>ēdzie</w:t>
      </w:r>
      <w:r w:rsidR="0099355B">
        <w:rPr>
          <w:sz w:val="24"/>
          <w:szCs w:val="24"/>
          <w:lang w:val="lv-LV"/>
        </w:rPr>
        <w:t>ns “maksājumi”</w:t>
      </w:r>
      <w:r w:rsidR="0099355B" w:rsidRPr="0099355B">
        <w:rPr>
          <w:sz w:val="24"/>
          <w:szCs w:val="24"/>
          <w:lang w:val="lv-LV"/>
        </w:rPr>
        <w:t xml:space="preserve"> nozīmē jebkurus maksājumus, kas rada</w:t>
      </w:r>
      <w:r w:rsidR="0099355B">
        <w:rPr>
          <w:sz w:val="24"/>
          <w:szCs w:val="24"/>
          <w:lang w:val="lv-LV"/>
        </w:rPr>
        <w:t xml:space="preserve"> </w:t>
      </w:r>
      <w:r w:rsidR="0099355B" w:rsidRPr="0099355B">
        <w:rPr>
          <w:sz w:val="24"/>
          <w:szCs w:val="24"/>
          <w:lang w:val="lv-LV"/>
        </w:rPr>
        <w:t>vai radīs nodokļa maksātāja finanšu rādītāju izmaiņas, izņemot aprēķināt</w:t>
      </w:r>
      <w:r w:rsidR="0099355B">
        <w:rPr>
          <w:sz w:val="24"/>
          <w:szCs w:val="24"/>
          <w:lang w:val="lv-LV"/>
        </w:rPr>
        <w:t xml:space="preserve">ās dividendes. Jēdzienā “maksājumi” </w:t>
      </w:r>
      <w:r w:rsidR="0099355B" w:rsidRPr="0099355B">
        <w:rPr>
          <w:sz w:val="24"/>
          <w:szCs w:val="24"/>
          <w:lang w:val="lv-LV"/>
        </w:rPr>
        <w:t>ietilpst</w:t>
      </w:r>
      <w:r w:rsidR="0099355B">
        <w:rPr>
          <w:sz w:val="24"/>
          <w:szCs w:val="24"/>
          <w:lang w:val="lv-LV"/>
        </w:rPr>
        <w:t xml:space="preserve"> </w:t>
      </w:r>
      <w:r w:rsidR="0099355B" w:rsidRPr="0099355B">
        <w:rPr>
          <w:sz w:val="24"/>
          <w:szCs w:val="24"/>
          <w:lang w:val="lv-LV"/>
        </w:rPr>
        <w:t>arī procenti, autoratlīdzība, maksājumi par pakalpojumiem, maksājumi faktisko izdevumu atlīdzināšanai,</w:t>
      </w:r>
      <w:r w:rsidR="0099355B">
        <w:rPr>
          <w:sz w:val="24"/>
          <w:szCs w:val="24"/>
          <w:lang w:val="lv-LV"/>
        </w:rPr>
        <w:t xml:space="preserve"> </w:t>
      </w:r>
      <w:r w:rsidR="0099355B" w:rsidRPr="0099355B">
        <w:rPr>
          <w:sz w:val="24"/>
          <w:szCs w:val="24"/>
          <w:lang w:val="lv-LV"/>
        </w:rPr>
        <w:t>apdrošināšanas prēmiju maksājumi, galvojuma nauda un rokasnauda, kā arī jebkuri avansa maksājumi</w:t>
      </w:r>
      <w:r w:rsidR="0099355B">
        <w:rPr>
          <w:sz w:val="24"/>
          <w:szCs w:val="24"/>
          <w:lang w:val="lv-LV"/>
        </w:rPr>
        <w:t xml:space="preserve"> (Ministru kabineta 2017.gada 14.novembra noteikumu Nr.677 “Uzņēmumu ienākuma nodokļa likuma normu piemērošanas noteikumi” 39.punkts)</w:t>
      </w:r>
      <w:r w:rsidR="0099355B" w:rsidRPr="0099355B">
        <w:rPr>
          <w:sz w:val="24"/>
          <w:szCs w:val="24"/>
          <w:lang w:val="lv-LV"/>
        </w:rPr>
        <w:t>.</w:t>
      </w:r>
    </w:p>
    <w:p w:rsidR="00C55761" w:rsidRPr="00C55761" w:rsidRDefault="00C55761" w:rsidP="00C55761">
      <w:pPr>
        <w:tabs>
          <w:tab w:val="left" w:pos="8931"/>
        </w:tabs>
        <w:rPr>
          <w:sz w:val="24"/>
          <w:szCs w:val="24"/>
          <w:lang w:val="lv-LV"/>
        </w:rPr>
      </w:pPr>
    </w:p>
    <w:p w:rsidR="004B68DF" w:rsidRPr="004B68DF" w:rsidRDefault="004B68DF" w:rsidP="004B68DF">
      <w:pPr>
        <w:tabs>
          <w:tab w:val="left" w:pos="8931"/>
        </w:tabs>
        <w:jc w:val="center"/>
        <w:rPr>
          <w:b/>
          <w:sz w:val="24"/>
          <w:szCs w:val="24"/>
          <w:lang w:val="lv-LV"/>
        </w:rPr>
      </w:pPr>
      <w:r w:rsidRPr="004B68DF">
        <w:rPr>
          <w:b/>
          <w:sz w:val="24"/>
          <w:szCs w:val="24"/>
          <w:lang w:val="lv-LV"/>
        </w:rPr>
        <w:t>Zemu nodokļu vai beznodokļ</w:t>
      </w:r>
      <w:r w:rsidR="009D797C">
        <w:rPr>
          <w:b/>
          <w:sz w:val="24"/>
          <w:szCs w:val="24"/>
          <w:lang w:val="lv-LV"/>
        </w:rPr>
        <w:t>u valstu un teritoriju saraksts</w:t>
      </w:r>
    </w:p>
    <w:p w:rsidR="004B68DF" w:rsidRPr="004B68DF" w:rsidRDefault="004B68DF" w:rsidP="004B68DF">
      <w:pPr>
        <w:tabs>
          <w:tab w:val="left" w:pos="8931"/>
        </w:tabs>
        <w:jc w:val="center"/>
        <w:rPr>
          <w:b/>
          <w:sz w:val="24"/>
          <w:szCs w:val="24"/>
          <w:lang w:val="lv-LV"/>
        </w:rPr>
      </w:pPr>
    </w:p>
    <w:p w:rsidR="004B68DF" w:rsidRPr="004B68DF" w:rsidRDefault="004B68DF" w:rsidP="004B68DF">
      <w:pPr>
        <w:tabs>
          <w:tab w:val="left" w:pos="8931"/>
        </w:tabs>
        <w:ind w:firstLine="567"/>
        <w:jc w:val="both"/>
        <w:rPr>
          <w:sz w:val="24"/>
          <w:szCs w:val="24"/>
          <w:lang w:val="lv-LV"/>
        </w:rPr>
      </w:pPr>
      <w:r w:rsidRPr="004B68DF">
        <w:rPr>
          <w:sz w:val="24"/>
          <w:szCs w:val="24"/>
          <w:lang w:val="lv-LV"/>
        </w:rPr>
        <w:t>Zemu nodokļu vai beznodokļu valstu un teritoriju sarakstu nosaka Ministru kabineta 2017.gada 7.novembra noteikumi  Nr. 655  “Noteikumi  par  zemu  nodokļu  vai  beznodokļu  valstīm  un teritorijām”. Noteikumu 1.punktā norādītās valstis vai teritorijas netiks uzskatītas</w:t>
      </w:r>
    </w:p>
    <w:p w:rsidR="004B68DF" w:rsidRPr="004B68DF" w:rsidRDefault="004B68DF" w:rsidP="004B68DF">
      <w:pPr>
        <w:tabs>
          <w:tab w:val="left" w:pos="8931"/>
        </w:tabs>
        <w:jc w:val="both"/>
        <w:rPr>
          <w:sz w:val="24"/>
          <w:szCs w:val="24"/>
          <w:lang w:val="lv-LV"/>
        </w:rPr>
      </w:pPr>
      <w:r w:rsidRPr="004B68DF">
        <w:rPr>
          <w:sz w:val="24"/>
          <w:szCs w:val="24"/>
          <w:lang w:val="lv-LV"/>
        </w:rPr>
        <w:t xml:space="preserve">par beznodokļu vai zemu nodokļu valstīm vai teritorijām, sākot ar gadu, kurā attiecībā uz minēto valsti vai teritoriju tiek uzsākta starptautiskā līguma par nodokļu dubultās uzlikšanas un nodokļu nemaksāšanas novēršanu piemērošana, vai datumu, kurā attiecībā uz minēto valsti vai teritoriju stājas spēkā starptautiskais līgums, kas paredz informācijas apmaiņu. </w:t>
      </w:r>
    </w:p>
    <w:p w:rsidR="004B68DF" w:rsidRDefault="004B68DF" w:rsidP="00C55761">
      <w:pPr>
        <w:tabs>
          <w:tab w:val="left" w:pos="8931"/>
        </w:tabs>
        <w:jc w:val="center"/>
        <w:rPr>
          <w:b/>
          <w:sz w:val="24"/>
          <w:szCs w:val="24"/>
          <w:lang w:val="lv-LV"/>
        </w:rPr>
      </w:pPr>
    </w:p>
    <w:p w:rsidR="009E2A21" w:rsidRDefault="009E2A21" w:rsidP="00C55761">
      <w:pPr>
        <w:tabs>
          <w:tab w:val="left" w:pos="8931"/>
        </w:tabs>
        <w:jc w:val="center"/>
        <w:rPr>
          <w:b/>
          <w:sz w:val="24"/>
          <w:szCs w:val="24"/>
          <w:lang w:val="lv-LV"/>
        </w:rPr>
      </w:pPr>
      <w:r>
        <w:rPr>
          <w:b/>
          <w:sz w:val="24"/>
          <w:szCs w:val="24"/>
          <w:lang w:val="lv-LV"/>
        </w:rPr>
        <w:t>Atļauja neieturēt uzņēmumu ienākuma nodokli izmaksas brīdī</w:t>
      </w:r>
    </w:p>
    <w:p w:rsidR="009E2A21" w:rsidRDefault="009E2A21" w:rsidP="00C55761">
      <w:pPr>
        <w:tabs>
          <w:tab w:val="left" w:pos="8931"/>
        </w:tabs>
        <w:jc w:val="center"/>
        <w:rPr>
          <w:b/>
          <w:sz w:val="24"/>
          <w:szCs w:val="24"/>
          <w:lang w:val="lv-LV"/>
        </w:rPr>
      </w:pPr>
    </w:p>
    <w:p w:rsidR="00C55761" w:rsidRPr="009E2A21" w:rsidRDefault="00C55761" w:rsidP="009E2A21">
      <w:pPr>
        <w:tabs>
          <w:tab w:val="left" w:pos="8931"/>
        </w:tabs>
        <w:ind w:firstLine="709"/>
        <w:jc w:val="both"/>
        <w:rPr>
          <w:sz w:val="24"/>
          <w:szCs w:val="24"/>
          <w:lang w:val="lv-LV"/>
        </w:rPr>
      </w:pPr>
      <w:r w:rsidRPr="009E2A21">
        <w:rPr>
          <w:sz w:val="24"/>
          <w:szCs w:val="24"/>
          <w:lang w:val="lv-LV"/>
        </w:rPr>
        <w:t>Valsts ieņēmumu dienestam ir tiesības atļaut neieturēt nodokli no tiem maksājumiem, no kuriem ir ieturams nodoklis, ja to izmaksātājs pamatoti pierāda, ka minētie maksājumi netiek izdarīti,</w:t>
      </w:r>
      <w:r w:rsidR="009E2A21">
        <w:rPr>
          <w:sz w:val="24"/>
          <w:szCs w:val="24"/>
          <w:lang w:val="lv-LV"/>
        </w:rPr>
        <w:t xml:space="preserve"> </w:t>
      </w:r>
      <w:r w:rsidRPr="009E2A21">
        <w:rPr>
          <w:sz w:val="24"/>
          <w:szCs w:val="24"/>
          <w:lang w:val="lv-LV"/>
        </w:rPr>
        <w:t>lai samazinātu maksātāja apliekamo ienākumu un nemaksātu vai samazinā</w:t>
      </w:r>
      <w:r w:rsidR="0099355B">
        <w:rPr>
          <w:sz w:val="24"/>
          <w:szCs w:val="24"/>
          <w:lang w:val="lv-LV"/>
        </w:rPr>
        <w:t xml:space="preserve">tu Latvijā maksājamos nodokļus </w:t>
      </w:r>
      <w:r w:rsidR="009E2A21" w:rsidRPr="009E2A21">
        <w:rPr>
          <w:sz w:val="24"/>
          <w:szCs w:val="24"/>
          <w:lang w:val="lv-LV"/>
        </w:rPr>
        <w:t xml:space="preserve">(Uzņēmumu ienākuma nodokļa likuma 5.panta </w:t>
      </w:r>
      <w:r w:rsidR="009E2A21">
        <w:rPr>
          <w:sz w:val="24"/>
          <w:szCs w:val="24"/>
          <w:lang w:val="lv-LV"/>
        </w:rPr>
        <w:t>devītā</w:t>
      </w:r>
      <w:r w:rsidR="009E2A21" w:rsidRPr="009E2A21">
        <w:rPr>
          <w:sz w:val="24"/>
          <w:szCs w:val="24"/>
          <w:lang w:val="lv-LV"/>
        </w:rPr>
        <w:t xml:space="preserve"> daļa)</w:t>
      </w:r>
      <w:r w:rsidRPr="009E2A21">
        <w:rPr>
          <w:sz w:val="24"/>
          <w:szCs w:val="24"/>
          <w:lang w:val="lv-LV"/>
        </w:rPr>
        <w:t>.</w:t>
      </w:r>
    </w:p>
    <w:p w:rsidR="0099355B" w:rsidRPr="0099355B" w:rsidRDefault="0099355B" w:rsidP="009D797C">
      <w:pPr>
        <w:tabs>
          <w:tab w:val="left" w:pos="8931"/>
        </w:tabs>
        <w:ind w:firstLine="709"/>
        <w:jc w:val="both"/>
        <w:rPr>
          <w:sz w:val="24"/>
          <w:szCs w:val="24"/>
          <w:lang w:val="lv-LV"/>
        </w:rPr>
      </w:pPr>
      <w:r>
        <w:rPr>
          <w:sz w:val="24"/>
          <w:szCs w:val="24"/>
          <w:lang w:val="lv-LV"/>
        </w:rPr>
        <w:t>Gadījumā, ja</w:t>
      </w:r>
      <w:r w:rsidRPr="0099355B">
        <w:rPr>
          <w:sz w:val="24"/>
          <w:szCs w:val="24"/>
          <w:lang w:val="lv-LV"/>
        </w:rPr>
        <w:t xml:space="preserve"> Latvijas nodokļa maksātāja maksājum</w:t>
      </w:r>
      <w:r>
        <w:rPr>
          <w:sz w:val="24"/>
          <w:szCs w:val="24"/>
          <w:lang w:val="lv-LV"/>
        </w:rPr>
        <w:t>u</w:t>
      </w:r>
      <w:r w:rsidRPr="0099355B">
        <w:rPr>
          <w:sz w:val="24"/>
          <w:szCs w:val="24"/>
          <w:lang w:val="lv-LV"/>
        </w:rPr>
        <w:t xml:space="preserve"> personām</w:t>
      </w:r>
      <w:r>
        <w:rPr>
          <w:sz w:val="24"/>
          <w:szCs w:val="24"/>
          <w:lang w:val="lv-LV"/>
        </w:rPr>
        <w:t xml:space="preserve"> </w:t>
      </w:r>
      <w:r w:rsidRPr="0099355B">
        <w:rPr>
          <w:sz w:val="24"/>
          <w:szCs w:val="24"/>
          <w:lang w:val="lv-LV"/>
        </w:rPr>
        <w:t>beznodokļu vai zem</w:t>
      </w:r>
      <w:r>
        <w:rPr>
          <w:sz w:val="24"/>
          <w:szCs w:val="24"/>
          <w:lang w:val="lv-LV"/>
        </w:rPr>
        <w:t>u nodokļu valstī vai teritorijā m</w:t>
      </w:r>
      <w:r w:rsidRPr="0099355B">
        <w:rPr>
          <w:sz w:val="24"/>
          <w:szCs w:val="24"/>
          <w:lang w:val="lv-LV"/>
        </w:rPr>
        <w:t>ērķis nav mākslīgi samazināt uzņēmumu</w:t>
      </w:r>
      <w:r>
        <w:rPr>
          <w:sz w:val="24"/>
          <w:szCs w:val="24"/>
          <w:lang w:val="lv-LV"/>
        </w:rPr>
        <w:t xml:space="preserve"> ienākuma nodokļa bāzi </w:t>
      </w:r>
      <w:r>
        <w:rPr>
          <w:sz w:val="24"/>
          <w:szCs w:val="24"/>
          <w:lang w:val="lv-LV"/>
        </w:rPr>
        <w:lastRenderedPageBreak/>
        <w:t>Latvijā,</w:t>
      </w:r>
      <w:r w:rsidR="009D797C">
        <w:rPr>
          <w:sz w:val="24"/>
          <w:szCs w:val="24"/>
          <w:lang w:val="lv-LV"/>
        </w:rPr>
        <w:t xml:space="preserve"> </w:t>
      </w:r>
      <w:r w:rsidRPr="0099355B">
        <w:rPr>
          <w:sz w:val="24"/>
          <w:szCs w:val="24"/>
          <w:lang w:val="lv-LV"/>
        </w:rPr>
        <w:t xml:space="preserve">nodokļa maksātājs pirms maksājumu veikšanas </w:t>
      </w:r>
      <w:r>
        <w:rPr>
          <w:sz w:val="24"/>
          <w:szCs w:val="24"/>
          <w:lang w:val="lv-LV"/>
        </w:rPr>
        <w:t xml:space="preserve">var </w:t>
      </w:r>
      <w:r w:rsidRPr="0099355B">
        <w:rPr>
          <w:sz w:val="24"/>
          <w:szCs w:val="24"/>
          <w:lang w:val="lv-LV"/>
        </w:rPr>
        <w:t>iesnie</w:t>
      </w:r>
      <w:r>
        <w:rPr>
          <w:sz w:val="24"/>
          <w:szCs w:val="24"/>
          <w:lang w:val="lv-LV"/>
        </w:rPr>
        <w:t>gt</w:t>
      </w:r>
      <w:r w:rsidRPr="0099355B">
        <w:rPr>
          <w:sz w:val="24"/>
          <w:szCs w:val="24"/>
          <w:lang w:val="lv-LV"/>
        </w:rPr>
        <w:t xml:space="preserve"> Valsts ieņēmumu dienestā </w:t>
      </w:r>
      <w:r w:rsidRPr="0099355B">
        <w:rPr>
          <w:i/>
          <w:sz w:val="24"/>
          <w:szCs w:val="24"/>
          <w:lang w:val="lv-LV"/>
        </w:rPr>
        <w:t>iesniegumu–pieprasījumu par</w:t>
      </w:r>
      <w:r>
        <w:rPr>
          <w:i/>
          <w:sz w:val="24"/>
          <w:szCs w:val="24"/>
          <w:lang w:val="lv-LV"/>
        </w:rPr>
        <w:t xml:space="preserve"> Uzņēmumu ienākuma nodokļa</w:t>
      </w:r>
      <w:r w:rsidRPr="0099355B">
        <w:rPr>
          <w:i/>
          <w:sz w:val="24"/>
          <w:szCs w:val="24"/>
          <w:lang w:val="lv-LV"/>
        </w:rPr>
        <w:t xml:space="preserve"> likuma 5.panta sestās daļas nepiemērošanu</w:t>
      </w:r>
      <w:r w:rsidRPr="0099355B">
        <w:rPr>
          <w:sz w:val="24"/>
          <w:szCs w:val="24"/>
          <w:lang w:val="lv-LV"/>
        </w:rPr>
        <w:t xml:space="preserve"> attiecībā uz viņa maksājumiem minētajām personām.</w:t>
      </w:r>
      <w:r>
        <w:rPr>
          <w:sz w:val="24"/>
          <w:szCs w:val="24"/>
          <w:lang w:val="lv-LV"/>
        </w:rPr>
        <w:t xml:space="preserve"> I</w:t>
      </w:r>
      <w:r w:rsidRPr="0099355B">
        <w:rPr>
          <w:sz w:val="24"/>
          <w:szCs w:val="24"/>
          <w:lang w:val="lv-LV"/>
        </w:rPr>
        <w:t>esniegum</w:t>
      </w:r>
      <w:r>
        <w:rPr>
          <w:sz w:val="24"/>
          <w:szCs w:val="24"/>
          <w:lang w:val="lv-LV"/>
        </w:rPr>
        <w:t>s</w:t>
      </w:r>
      <w:r w:rsidRPr="0099355B">
        <w:rPr>
          <w:sz w:val="24"/>
          <w:szCs w:val="24"/>
          <w:lang w:val="lv-LV"/>
        </w:rPr>
        <w:t>–pieprasījum</w:t>
      </w:r>
      <w:r>
        <w:rPr>
          <w:sz w:val="24"/>
          <w:szCs w:val="24"/>
          <w:lang w:val="lv-LV"/>
        </w:rPr>
        <w:t xml:space="preserve">s </w:t>
      </w:r>
      <w:r w:rsidRPr="0099355B">
        <w:rPr>
          <w:sz w:val="24"/>
          <w:szCs w:val="24"/>
          <w:lang w:val="lv-LV"/>
        </w:rPr>
        <w:t>neattiecas uz šādiem maksājumiem:</w:t>
      </w:r>
    </w:p>
    <w:p w:rsidR="0099355B" w:rsidRPr="0099355B" w:rsidRDefault="0099355B" w:rsidP="0099355B">
      <w:pPr>
        <w:tabs>
          <w:tab w:val="left" w:pos="8931"/>
        </w:tabs>
        <w:ind w:firstLine="709"/>
        <w:jc w:val="both"/>
        <w:rPr>
          <w:sz w:val="24"/>
          <w:szCs w:val="24"/>
          <w:lang w:val="lv-LV"/>
        </w:rPr>
      </w:pPr>
      <w:r>
        <w:rPr>
          <w:sz w:val="24"/>
          <w:szCs w:val="24"/>
          <w:lang w:val="lv-LV"/>
        </w:rPr>
        <w:t xml:space="preserve">1) </w:t>
      </w:r>
      <w:r w:rsidRPr="0099355B">
        <w:rPr>
          <w:sz w:val="24"/>
          <w:szCs w:val="24"/>
          <w:lang w:val="lv-LV"/>
        </w:rPr>
        <w:t>maksājumiem par konsultatīvajiem pakalpojumiem;</w:t>
      </w:r>
    </w:p>
    <w:p w:rsidR="0099355B" w:rsidRPr="0099355B" w:rsidRDefault="0099355B" w:rsidP="0099355B">
      <w:pPr>
        <w:tabs>
          <w:tab w:val="left" w:pos="8931"/>
        </w:tabs>
        <w:ind w:firstLine="709"/>
        <w:jc w:val="both"/>
        <w:rPr>
          <w:sz w:val="24"/>
          <w:szCs w:val="24"/>
          <w:lang w:val="lv-LV"/>
        </w:rPr>
      </w:pPr>
      <w:r w:rsidRPr="0099355B">
        <w:rPr>
          <w:sz w:val="24"/>
          <w:szCs w:val="24"/>
          <w:lang w:val="lv-LV"/>
        </w:rPr>
        <w:t>2</w:t>
      </w:r>
      <w:r>
        <w:rPr>
          <w:sz w:val="24"/>
          <w:szCs w:val="24"/>
          <w:lang w:val="lv-LV"/>
        </w:rPr>
        <w:t>)</w:t>
      </w:r>
      <w:r w:rsidRPr="0099355B">
        <w:rPr>
          <w:sz w:val="24"/>
          <w:szCs w:val="24"/>
          <w:lang w:val="lv-LV"/>
        </w:rPr>
        <w:t xml:space="preserve"> dividendēm;</w:t>
      </w:r>
    </w:p>
    <w:p w:rsidR="0099355B" w:rsidRPr="0099355B" w:rsidRDefault="0099355B" w:rsidP="0099355B">
      <w:pPr>
        <w:tabs>
          <w:tab w:val="left" w:pos="8931"/>
        </w:tabs>
        <w:ind w:firstLine="709"/>
        <w:jc w:val="both"/>
        <w:rPr>
          <w:sz w:val="24"/>
          <w:szCs w:val="24"/>
          <w:lang w:val="lv-LV"/>
        </w:rPr>
      </w:pPr>
      <w:r w:rsidRPr="0099355B">
        <w:rPr>
          <w:sz w:val="24"/>
          <w:szCs w:val="24"/>
          <w:lang w:val="lv-LV"/>
        </w:rPr>
        <w:t>3</w:t>
      </w:r>
      <w:r>
        <w:rPr>
          <w:sz w:val="24"/>
          <w:szCs w:val="24"/>
          <w:lang w:val="lv-LV"/>
        </w:rPr>
        <w:t>) procentu maksājumiem</w:t>
      </w:r>
      <w:r w:rsidRPr="0099355B">
        <w:rPr>
          <w:sz w:val="24"/>
          <w:szCs w:val="24"/>
          <w:lang w:val="lv-LV"/>
        </w:rPr>
        <w:t>;</w:t>
      </w:r>
    </w:p>
    <w:p w:rsidR="0099355B" w:rsidRDefault="0099355B" w:rsidP="0099355B">
      <w:pPr>
        <w:tabs>
          <w:tab w:val="left" w:pos="8931"/>
        </w:tabs>
        <w:ind w:firstLine="709"/>
        <w:jc w:val="both"/>
        <w:rPr>
          <w:sz w:val="24"/>
          <w:szCs w:val="24"/>
          <w:lang w:val="lv-LV"/>
        </w:rPr>
      </w:pPr>
      <w:r w:rsidRPr="0099355B">
        <w:rPr>
          <w:sz w:val="24"/>
          <w:szCs w:val="24"/>
          <w:lang w:val="lv-LV"/>
        </w:rPr>
        <w:t>4</w:t>
      </w:r>
      <w:r>
        <w:rPr>
          <w:sz w:val="24"/>
          <w:szCs w:val="24"/>
          <w:lang w:val="lv-LV"/>
        </w:rPr>
        <w:t>)</w:t>
      </w:r>
      <w:r w:rsidRPr="0099355B">
        <w:rPr>
          <w:sz w:val="24"/>
          <w:szCs w:val="24"/>
          <w:lang w:val="lv-LV"/>
        </w:rPr>
        <w:t xml:space="preserve"> maksājumiem par intelektuālo īpašumu.</w:t>
      </w:r>
    </w:p>
    <w:p w:rsidR="0098223E" w:rsidRDefault="0098223E" w:rsidP="0099355B">
      <w:pPr>
        <w:tabs>
          <w:tab w:val="left" w:pos="8931"/>
        </w:tabs>
        <w:ind w:firstLine="709"/>
        <w:jc w:val="both"/>
        <w:rPr>
          <w:sz w:val="24"/>
          <w:szCs w:val="24"/>
          <w:lang w:val="lv-LV"/>
        </w:rPr>
      </w:pPr>
    </w:p>
    <w:p w:rsidR="00172354" w:rsidRDefault="0098223E" w:rsidP="002E44B5">
      <w:pPr>
        <w:tabs>
          <w:tab w:val="left" w:pos="8931"/>
        </w:tabs>
        <w:ind w:firstLine="709"/>
        <w:jc w:val="both"/>
        <w:rPr>
          <w:sz w:val="24"/>
          <w:szCs w:val="24"/>
          <w:lang w:val="lv-LV"/>
        </w:rPr>
      </w:pPr>
      <w:r>
        <w:rPr>
          <w:sz w:val="24"/>
          <w:szCs w:val="24"/>
          <w:lang w:val="lv-LV"/>
        </w:rPr>
        <w:t>M</w:t>
      </w:r>
      <w:r w:rsidRPr="0098223E">
        <w:rPr>
          <w:sz w:val="24"/>
          <w:szCs w:val="24"/>
          <w:lang w:val="lv-LV"/>
        </w:rPr>
        <w:t>inētajā iesniegumā–pieprasījumā nodokļa maksātājs norāda darījuma raksturu,</w:t>
      </w:r>
      <w:r>
        <w:rPr>
          <w:sz w:val="24"/>
          <w:szCs w:val="24"/>
          <w:lang w:val="lv-LV"/>
        </w:rPr>
        <w:t xml:space="preserve"> </w:t>
      </w:r>
      <w:r w:rsidRPr="0098223E">
        <w:rPr>
          <w:sz w:val="24"/>
          <w:szCs w:val="24"/>
          <w:lang w:val="lv-LV"/>
        </w:rPr>
        <w:t xml:space="preserve">būtību un piemērojamās cenas, paskaidro, kādi apstākļi ir noteikuši nepieciešamību veikt darījumu ar personu </w:t>
      </w:r>
      <w:r>
        <w:rPr>
          <w:sz w:val="24"/>
          <w:szCs w:val="24"/>
          <w:lang w:val="lv-LV"/>
        </w:rPr>
        <w:t>attiecīgajā</w:t>
      </w:r>
      <w:r w:rsidRPr="0098223E">
        <w:rPr>
          <w:sz w:val="24"/>
          <w:szCs w:val="24"/>
          <w:lang w:val="lv-LV"/>
        </w:rPr>
        <w:t xml:space="preserve"> valstī vai teritorijā, apliecina, ka minētais darījums nenotiek, lai samazinātu nodokļa maksātāja ar</w:t>
      </w:r>
      <w:r>
        <w:rPr>
          <w:sz w:val="24"/>
          <w:szCs w:val="24"/>
          <w:lang w:val="lv-LV"/>
        </w:rPr>
        <w:t xml:space="preserve"> </w:t>
      </w:r>
      <w:r w:rsidRPr="0098223E">
        <w:rPr>
          <w:sz w:val="24"/>
          <w:szCs w:val="24"/>
          <w:lang w:val="lv-LV"/>
        </w:rPr>
        <w:t>uzņēmumu ienākuma nodokli apliekamo bāzi vai nemaksātu nodokļus Latvijā, un ka nodokļa maksātājs vai ar</w:t>
      </w:r>
      <w:r>
        <w:rPr>
          <w:sz w:val="24"/>
          <w:szCs w:val="24"/>
          <w:lang w:val="lv-LV"/>
        </w:rPr>
        <w:t xml:space="preserve"> </w:t>
      </w:r>
      <w:r w:rsidRPr="0098223E">
        <w:rPr>
          <w:sz w:val="24"/>
          <w:szCs w:val="24"/>
          <w:lang w:val="lv-LV"/>
        </w:rPr>
        <w:t>nodokļa maksātāju saistītas personas vai komersants (vai pastāvīgā pārstāvniecība) nav tiešs vai netiešs</w:t>
      </w:r>
      <w:r>
        <w:rPr>
          <w:sz w:val="24"/>
          <w:szCs w:val="24"/>
          <w:lang w:val="lv-LV"/>
        </w:rPr>
        <w:t xml:space="preserve"> </w:t>
      </w:r>
      <w:r w:rsidRPr="0098223E">
        <w:rPr>
          <w:sz w:val="24"/>
          <w:szCs w:val="24"/>
          <w:lang w:val="lv-LV"/>
        </w:rPr>
        <w:t>līdzdalībnieks personā – maksājumu saņēmējā, dokumentāri identificē personas, kuras tieši vai netieši (izmantojot</w:t>
      </w:r>
      <w:r>
        <w:rPr>
          <w:sz w:val="24"/>
          <w:szCs w:val="24"/>
          <w:lang w:val="lv-LV"/>
        </w:rPr>
        <w:t xml:space="preserve"> </w:t>
      </w:r>
      <w:r w:rsidRPr="0098223E">
        <w:rPr>
          <w:sz w:val="24"/>
          <w:szCs w:val="24"/>
          <w:lang w:val="lv-LV"/>
        </w:rPr>
        <w:t>līdzdalību citā personā, vairākās citās personās vai citā veidā) ir personas – maksājumu saņēmējas faktiskie īpašnieki,</w:t>
      </w:r>
      <w:r>
        <w:rPr>
          <w:sz w:val="24"/>
          <w:szCs w:val="24"/>
          <w:lang w:val="lv-LV"/>
        </w:rPr>
        <w:t xml:space="preserve"> </w:t>
      </w:r>
      <w:r w:rsidRPr="0098223E">
        <w:rPr>
          <w:sz w:val="24"/>
          <w:szCs w:val="24"/>
          <w:lang w:val="lv-LV"/>
        </w:rPr>
        <w:t>kā arī sniedz jebkuru citu būtisku informāciju</w:t>
      </w:r>
      <w:r>
        <w:rPr>
          <w:sz w:val="24"/>
          <w:szCs w:val="24"/>
          <w:lang w:val="lv-LV"/>
        </w:rPr>
        <w:t>.</w:t>
      </w:r>
    </w:p>
    <w:p w:rsidR="002E44B5" w:rsidRDefault="00172354" w:rsidP="00172354">
      <w:pPr>
        <w:tabs>
          <w:tab w:val="left" w:pos="8931"/>
        </w:tabs>
        <w:ind w:firstLine="709"/>
        <w:jc w:val="both"/>
        <w:rPr>
          <w:sz w:val="24"/>
          <w:szCs w:val="24"/>
          <w:lang w:val="lv-LV"/>
        </w:rPr>
      </w:pPr>
      <w:r>
        <w:rPr>
          <w:sz w:val="24"/>
          <w:szCs w:val="24"/>
          <w:lang w:val="lv-LV"/>
        </w:rPr>
        <w:t xml:space="preserve">Iesniegumu-pieprasījumu </w:t>
      </w:r>
      <w:r w:rsidRPr="00172354">
        <w:rPr>
          <w:sz w:val="24"/>
          <w:szCs w:val="24"/>
          <w:lang w:val="lv-LV"/>
        </w:rPr>
        <w:t xml:space="preserve">izskata un </w:t>
      </w:r>
      <w:r>
        <w:rPr>
          <w:sz w:val="24"/>
          <w:szCs w:val="24"/>
          <w:lang w:val="lv-LV"/>
        </w:rPr>
        <w:t xml:space="preserve">atļauju </w:t>
      </w:r>
      <w:r w:rsidRPr="00172354">
        <w:rPr>
          <w:sz w:val="24"/>
          <w:szCs w:val="24"/>
          <w:lang w:val="lv-LV"/>
        </w:rPr>
        <w:t>neieturēt nodokli</w:t>
      </w:r>
      <w:r>
        <w:rPr>
          <w:sz w:val="24"/>
          <w:szCs w:val="24"/>
          <w:lang w:val="lv-LV"/>
        </w:rPr>
        <w:t xml:space="preserve"> (vai atteikumu) </w:t>
      </w:r>
      <w:r w:rsidRPr="00172354">
        <w:rPr>
          <w:sz w:val="24"/>
          <w:szCs w:val="24"/>
          <w:lang w:val="lv-LV"/>
        </w:rPr>
        <w:t xml:space="preserve">papīra vai elektroniskā formā </w:t>
      </w:r>
      <w:r>
        <w:rPr>
          <w:sz w:val="24"/>
          <w:szCs w:val="24"/>
          <w:lang w:val="lv-LV"/>
        </w:rPr>
        <w:t>izsniedz</w:t>
      </w:r>
      <w:r w:rsidRPr="00172354">
        <w:rPr>
          <w:sz w:val="24"/>
          <w:szCs w:val="24"/>
          <w:lang w:val="lv-LV"/>
        </w:rPr>
        <w:t xml:space="preserve"> mēneša laikā</w:t>
      </w:r>
      <w:r>
        <w:rPr>
          <w:sz w:val="24"/>
          <w:szCs w:val="24"/>
          <w:lang w:val="lv-LV"/>
        </w:rPr>
        <w:t xml:space="preserve"> pēc minētā iesnieguma </w:t>
      </w:r>
      <w:r w:rsidRPr="00172354">
        <w:rPr>
          <w:sz w:val="24"/>
          <w:szCs w:val="24"/>
          <w:lang w:val="lv-LV"/>
        </w:rPr>
        <w:t xml:space="preserve"> </w:t>
      </w:r>
      <w:r>
        <w:rPr>
          <w:sz w:val="24"/>
          <w:szCs w:val="24"/>
          <w:lang w:val="lv-LV"/>
        </w:rPr>
        <w:t>iesniegšanas.</w:t>
      </w:r>
      <w:r w:rsidR="002E44B5">
        <w:rPr>
          <w:sz w:val="24"/>
          <w:szCs w:val="24"/>
          <w:lang w:val="lv-LV"/>
        </w:rPr>
        <w:tab/>
      </w:r>
    </w:p>
    <w:p w:rsidR="002E44B5" w:rsidRPr="0099355B" w:rsidRDefault="002E44B5" w:rsidP="002E44B5">
      <w:pPr>
        <w:tabs>
          <w:tab w:val="left" w:pos="8931"/>
        </w:tabs>
        <w:ind w:firstLine="709"/>
        <w:jc w:val="both"/>
        <w:rPr>
          <w:sz w:val="24"/>
          <w:szCs w:val="24"/>
          <w:lang w:val="lv-LV"/>
        </w:rPr>
      </w:pPr>
      <w:r w:rsidRPr="0098223E">
        <w:rPr>
          <w:sz w:val="24"/>
          <w:szCs w:val="24"/>
          <w:lang w:val="lv-LV"/>
        </w:rPr>
        <w:t xml:space="preserve">Nodokļa maksātājs tikai pēc </w:t>
      </w:r>
      <w:r>
        <w:rPr>
          <w:sz w:val="24"/>
          <w:szCs w:val="24"/>
          <w:lang w:val="lv-LV"/>
        </w:rPr>
        <w:t xml:space="preserve">Valsts ieņēmumu </w:t>
      </w:r>
      <w:r w:rsidRPr="0098223E">
        <w:rPr>
          <w:sz w:val="24"/>
          <w:szCs w:val="24"/>
          <w:lang w:val="lv-LV"/>
        </w:rPr>
        <w:t>dienesta rakstiskas (papīra vai elektroniskā formā) atļaujas saņemšanas ir tiesīgs</w:t>
      </w:r>
      <w:r>
        <w:rPr>
          <w:sz w:val="24"/>
          <w:szCs w:val="24"/>
          <w:lang w:val="lv-LV"/>
        </w:rPr>
        <w:t xml:space="preserve"> </w:t>
      </w:r>
      <w:r w:rsidRPr="0098223E">
        <w:rPr>
          <w:sz w:val="24"/>
          <w:szCs w:val="24"/>
          <w:lang w:val="lv-LV"/>
        </w:rPr>
        <w:t>neieturēt nodokli no atļaujā norādītajiem maksājumiem vai no maksājumiem par atļaujā minēto darījumu izpildi.</w:t>
      </w:r>
    </w:p>
    <w:p w:rsidR="002E44B5" w:rsidRPr="002E44B5" w:rsidRDefault="0098223E" w:rsidP="004B68DF">
      <w:pPr>
        <w:tabs>
          <w:tab w:val="left" w:pos="8931"/>
        </w:tabs>
        <w:ind w:firstLine="709"/>
        <w:jc w:val="both"/>
        <w:rPr>
          <w:b/>
          <w:sz w:val="24"/>
          <w:szCs w:val="24"/>
          <w:lang w:val="lv-LV"/>
        </w:rPr>
      </w:pPr>
      <w:r>
        <w:rPr>
          <w:sz w:val="24"/>
          <w:szCs w:val="24"/>
          <w:lang w:val="lv-LV"/>
        </w:rPr>
        <w:t xml:space="preserve">Kārtība, kādā aizpildāms un izskatāms </w:t>
      </w:r>
      <w:r w:rsidRPr="0098223E">
        <w:rPr>
          <w:i/>
          <w:sz w:val="24"/>
          <w:szCs w:val="24"/>
          <w:lang w:val="lv-LV"/>
        </w:rPr>
        <w:t>iesniegums–pieprasījums par Uzņēmumu ienākuma nodokļa likuma 5.panta sestās daļas nepiemērošanu</w:t>
      </w:r>
      <w:r w:rsidRPr="0098223E">
        <w:rPr>
          <w:sz w:val="24"/>
          <w:szCs w:val="24"/>
          <w:lang w:val="lv-LV"/>
        </w:rPr>
        <w:t xml:space="preserve">, </w:t>
      </w:r>
      <w:r>
        <w:rPr>
          <w:sz w:val="24"/>
          <w:szCs w:val="24"/>
          <w:lang w:val="lv-LV"/>
        </w:rPr>
        <w:t xml:space="preserve">ir noteikta </w:t>
      </w:r>
      <w:r w:rsidRPr="0098223E">
        <w:rPr>
          <w:sz w:val="24"/>
          <w:szCs w:val="24"/>
          <w:lang w:val="lv-LV"/>
        </w:rPr>
        <w:t>Ministru kabineta 2017.gada 14.novembra noteikumu Nr.677 “Uzņēmumu ienākuma nodokļa likuma normu piemērošanas noteikumi”</w:t>
      </w:r>
      <w:r w:rsidR="002E44B5">
        <w:rPr>
          <w:sz w:val="24"/>
          <w:szCs w:val="24"/>
          <w:lang w:val="lv-LV"/>
        </w:rPr>
        <w:t xml:space="preserve"> 38.-49.punktā.</w:t>
      </w:r>
      <w:r w:rsidR="004B68DF">
        <w:rPr>
          <w:sz w:val="24"/>
          <w:szCs w:val="24"/>
          <w:lang w:val="lv-LV"/>
        </w:rPr>
        <w:t xml:space="preserve"> </w:t>
      </w:r>
    </w:p>
    <w:p w:rsidR="002E44B5" w:rsidRPr="004B68DF" w:rsidRDefault="002E44B5" w:rsidP="00BC7394">
      <w:pPr>
        <w:tabs>
          <w:tab w:val="left" w:pos="8931"/>
        </w:tabs>
        <w:jc w:val="center"/>
        <w:rPr>
          <w:b/>
          <w:sz w:val="24"/>
          <w:szCs w:val="24"/>
          <w:lang w:val="lv-LV"/>
        </w:rPr>
      </w:pPr>
    </w:p>
    <w:p w:rsidR="00172354" w:rsidRDefault="00172354" w:rsidP="00172354">
      <w:pPr>
        <w:pStyle w:val="BodyText"/>
        <w:spacing w:after="0"/>
        <w:jc w:val="center"/>
        <w:rPr>
          <w:b/>
          <w:bCs/>
        </w:rPr>
      </w:pPr>
      <w:r w:rsidRPr="00172354">
        <w:rPr>
          <w:b/>
          <w:bCs/>
        </w:rPr>
        <w:t xml:space="preserve">Ja  uzņēmumu ienākuma nodoklis nav ieturēts </w:t>
      </w:r>
    </w:p>
    <w:p w:rsidR="00172354" w:rsidRDefault="00172354" w:rsidP="00172354">
      <w:pPr>
        <w:pStyle w:val="BodyText"/>
        <w:spacing w:after="0"/>
        <w:jc w:val="center"/>
        <w:rPr>
          <w:b/>
          <w:bCs/>
        </w:rPr>
      </w:pPr>
      <w:r w:rsidRPr="00172354">
        <w:rPr>
          <w:b/>
          <w:bCs/>
        </w:rPr>
        <w:t xml:space="preserve">un </w:t>
      </w:r>
      <w:r w:rsidR="000E754A" w:rsidRPr="00172354">
        <w:rPr>
          <w:b/>
          <w:bCs/>
        </w:rPr>
        <w:t xml:space="preserve">nav saņemta </w:t>
      </w:r>
      <w:r w:rsidRPr="00172354">
        <w:rPr>
          <w:b/>
          <w:bCs/>
        </w:rPr>
        <w:t xml:space="preserve">atļauja neieturēt nodokli </w:t>
      </w:r>
    </w:p>
    <w:p w:rsidR="00172354" w:rsidRDefault="00172354" w:rsidP="00172354">
      <w:pPr>
        <w:pStyle w:val="BodyText"/>
        <w:spacing w:after="0"/>
        <w:jc w:val="center"/>
        <w:rPr>
          <w:b/>
          <w:bCs/>
        </w:rPr>
      </w:pPr>
    </w:p>
    <w:p w:rsidR="00172354" w:rsidRPr="00172354" w:rsidRDefault="00172354" w:rsidP="000E754A">
      <w:pPr>
        <w:pStyle w:val="BodyText"/>
        <w:jc w:val="both"/>
        <w:rPr>
          <w:bCs/>
        </w:rPr>
      </w:pPr>
      <w:r>
        <w:rPr>
          <w:bCs/>
        </w:rPr>
        <w:tab/>
        <w:t xml:space="preserve">Gadījumā, </w:t>
      </w:r>
      <w:r w:rsidRPr="00172354">
        <w:rPr>
          <w:bCs/>
        </w:rPr>
        <w:t xml:space="preserve">ja izmaksātājs no maksājumiem </w:t>
      </w:r>
      <w:r>
        <w:rPr>
          <w:bCs/>
        </w:rPr>
        <w:t>personai zemu nodokļu un beznodokļu valstī vai teritorijā</w:t>
      </w:r>
      <w:r w:rsidRPr="00172354">
        <w:rPr>
          <w:bCs/>
        </w:rPr>
        <w:t xml:space="preserve"> nav ieturējis</w:t>
      </w:r>
      <w:r>
        <w:rPr>
          <w:bCs/>
        </w:rPr>
        <w:t xml:space="preserve"> </w:t>
      </w:r>
      <w:r w:rsidRPr="00172354">
        <w:rPr>
          <w:bCs/>
        </w:rPr>
        <w:t>nodokli noteiktajā apmērā vai nevarēja to ieturēt, izmaks</w:t>
      </w:r>
      <w:r w:rsidR="000E754A">
        <w:rPr>
          <w:bCs/>
        </w:rPr>
        <w:t>ātājs aprēķina maksājamo nodokli</w:t>
      </w:r>
      <w:r w:rsidRPr="00172354">
        <w:rPr>
          <w:bCs/>
        </w:rPr>
        <w:t xml:space="preserve"> un </w:t>
      </w:r>
      <w:r w:rsidR="000E754A">
        <w:rPr>
          <w:bCs/>
        </w:rPr>
        <w:t>to samaksā</w:t>
      </w:r>
      <w:r w:rsidRPr="00172354">
        <w:rPr>
          <w:bCs/>
        </w:rPr>
        <w:t xml:space="preserve"> līdz tā mēneša divdesmitajam datumam, kurš seko pārskata gada pēdējam</w:t>
      </w:r>
      <w:r w:rsidR="000E754A">
        <w:rPr>
          <w:bCs/>
        </w:rPr>
        <w:t xml:space="preserve"> mēnesim (piemēram, par 2018.gadā veiktajiem maksājumiem nodokļa summa jāsamaksā līdz 2019.gada 20.janvārim, ja pārskata gads sakrīt ar kalendāro gadu). Šajā gadījumā</w:t>
      </w:r>
      <w:r w:rsidRPr="00172354">
        <w:rPr>
          <w:bCs/>
        </w:rPr>
        <w:t xml:space="preserve"> maksājamo uzņēmumu ienākuma nodokli aprēķina,</w:t>
      </w:r>
      <w:r w:rsidR="000E754A">
        <w:rPr>
          <w:bCs/>
        </w:rPr>
        <w:t xml:space="preserve"> </w:t>
      </w:r>
      <w:r w:rsidRPr="00172354">
        <w:rPr>
          <w:bCs/>
        </w:rPr>
        <w:t>nerezidentam izmaksāto summu dalot ar koeficientu 0,8 un reizinot ar n</w:t>
      </w:r>
      <w:r w:rsidR="000E754A">
        <w:rPr>
          <w:bCs/>
        </w:rPr>
        <w:t>odokļa likmi 20 procenti. Piemēram, ja nerezidentam izmaksātā summa ir 100, tad nodoklis ir 25 (100 : 0,8 x 0,2).</w:t>
      </w:r>
    </w:p>
    <w:p w:rsidR="00172354" w:rsidRDefault="00172354" w:rsidP="004B68DF">
      <w:pPr>
        <w:pStyle w:val="BodyText"/>
        <w:spacing w:after="0"/>
        <w:jc w:val="right"/>
        <w:rPr>
          <w:bCs/>
          <w:sz w:val="20"/>
          <w:szCs w:val="20"/>
        </w:rPr>
      </w:pPr>
    </w:p>
    <w:p w:rsidR="00675C63" w:rsidRDefault="00675C63" w:rsidP="00675C63">
      <w:pPr>
        <w:pStyle w:val="BodyText"/>
        <w:spacing w:after="0"/>
        <w:jc w:val="both"/>
      </w:pPr>
      <w:r>
        <w:tab/>
      </w:r>
    </w:p>
    <w:p w:rsidR="00675C63" w:rsidRDefault="00675C63" w:rsidP="00675C63">
      <w:pPr>
        <w:pStyle w:val="BodyText"/>
        <w:spacing w:after="0"/>
        <w:jc w:val="both"/>
      </w:pPr>
    </w:p>
    <w:p w:rsidR="00172354" w:rsidRDefault="00675C63" w:rsidP="00675C63">
      <w:pPr>
        <w:pStyle w:val="BodyText"/>
        <w:spacing w:after="0"/>
        <w:jc w:val="both"/>
        <w:rPr>
          <w:bCs/>
          <w:sz w:val="20"/>
          <w:szCs w:val="20"/>
        </w:rPr>
      </w:pPr>
      <w:r>
        <w:tab/>
        <w:t xml:space="preserve">Iesnieguma-pieprasījuma formas paraugs ir noteikts </w:t>
      </w:r>
      <w:r w:rsidRPr="00675C63">
        <w:t xml:space="preserve">Ministru kabineta 2017.gada 14.novembra noteikumu Nr.677 “Uzņēmumu ienākuma nodokļa likuma normu piemērošanas noteikumi” </w:t>
      </w:r>
      <w:r w:rsidR="009D797C">
        <w:t>4.pielikumā:</w:t>
      </w:r>
    </w:p>
    <w:p w:rsidR="00675C63" w:rsidRDefault="00675C63" w:rsidP="004B68DF">
      <w:pPr>
        <w:pStyle w:val="BodyText"/>
        <w:spacing w:after="0"/>
        <w:jc w:val="right"/>
        <w:rPr>
          <w:bCs/>
          <w:sz w:val="20"/>
          <w:szCs w:val="20"/>
        </w:rPr>
      </w:pPr>
    </w:p>
    <w:p w:rsidR="00675C63" w:rsidRDefault="00675C63" w:rsidP="004B68DF">
      <w:pPr>
        <w:pStyle w:val="BodyText"/>
        <w:spacing w:after="0"/>
        <w:jc w:val="right"/>
        <w:rPr>
          <w:bCs/>
          <w:sz w:val="20"/>
          <w:szCs w:val="20"/>
        </w:rPr>
      </w:pPr>
    </w:p>
    <w:p w:rsidR="00675C63" w:rsidRDefault="00675C63" w:rsidP="004B68DF">
      <w:pPr>
        <w:pStyle w:val="BodyText"/>
        <w:spacing w:after="0"/>
        <w:jc w:val="right"/>
        <w:rPr>
          <w:bCs/>
          <w:sz w:val="20"/>
          <w:szCs w:val="20"/>
        </w:rPr>
      </w:pPr>
    </w:p>
    <w:p w:rsidR="00675C63" w:rsidRDefault="00675C63" w:rsidP="004B68DF">
      <w:pPr>
        <w:pStyle w:val="BodyText"/>
        <w:spacing w:after="0"/>
        <w:jc w:val="right"/>
        <w:rPr>
          <w:bCs/>
          <w:sz w:val="20"/>
          <w:szCs w:val="20"/>
        </w:rPr>
      </w:pPr>
    </w:p>
    <w:p w:rsidR="00675C63" w:rsidRDefault="00675C63" w:rsidP="004B68DF">
      <w:pPr>
        <w:pStyle w:val="BodyText"/>
        <w:spacing w:after="0"/>
        <w:jc w:val="right"/>
        <w:rPr>
          <w:bCs/>
          <w:sz w:val="20"/>
          <w:szCs w:val="20"/>
        </w:rPr>
      </w:pPr>
    </w:p>
    <w:p w:rsidR="009D797C" w:rsidRDefault="009D797C" w:rsidP="004B68DF">
      <w:pPr>
        <w:pStyle w:val="BodyText"/>
        <w:spacing w:after="0"/>
        <w:jc w:val="right"/>
        <w:rPr>
          <w:bCs/>
          <w:sz w:val="20"/>
          <w:szCs w:val="20"/>
        </w:rPr>
      </w:pPr>
    </w:p>
    <w:p w:rsidR="009D797C" w:rsidRDefault="009D797C" w:rsidP="004B68DF">
      <w:pPr>
        <w:pStyle w:val="BodyText"/>
        <w:spacing w:after="0"/>
        <w:jc w:val="right"/>
        <w:rPr>
          <w:bCs/>
          <w:sz w:val="20"/>
          <w:szCs w:val="20"/>
        </w:rPr>
      </w:pPr>
    </w:p>
    <w:p w:rsidR="009D797C" w:rsidRDefault="009D797C" w:rsidP="004B68DF">
      <w:pPr>
        <w:pStyle w:val="BodyText"/>
        <w:spacing w:after="0"/>
        <w:jc w:val="right"/>
        <w:rPr>
          <w:bCs/>
          <w:sz w:val="20"/>
          <w:szCs w:val="20"/>
        </w:rPr>
      </w:pPr>
    </w:p>
    <w:p w:rsidR="009D797C" w:rsidRDefault="009D797C" w:rsidP="004B68DF">
      <w:pPr>
        <w:pStyle w:val="BodyText"/>
        <w:spacing w:after="0"/>
        <w:jc w:val="right"/>
        <w:rPr>
          <w:bCs/>
          <w:sz w:val="20"/>
          <w:szCs w:val="20"/>
        </w:rPr>
      </w:pPr>
    </w:p>
    <w:p w:rsidR="00675C63" w:rsidRDefault="00675C63" w:rsidP="004B68DF">
      <w:pPr>
        <w:pStyle w:val="BodyText"/>
        <w:spacing w:after="0"/>
        <w:jc w:val="right"/>
        <w:rPr>
          <w:bCs/>
          <w:sz w:val="20"/>
          <w:szCs w:val="20"/>
        </w:rPr>
      </w:pPr>
    </w:p>
    <w:p w:rsidR="00675C63" w:rsidRDefault="00675C63" w:rsidP="004B68DF">
      <w:pPr>
        <w:pStyle w:val="BodyText"/>
        <w:spacing w:after="0"/>
        <w:jc w:val="right"/>
        <w:rPr>
          <w:bCs/>
          <w:sz w:val="20"/>
          <w:szCs w:val="20"/>
        </w:rPr>
      </w:pPr>
    </w:p>
    <w:p w:rsidR="00675C63" w:rsidRDefault="00675C63" w:rsidP="004B68DF">
      <w:pPr>
        <w:pStyle w:val="BodyText"/>
        <w:spacing w:after="0"/>
        <w:jc w:val="right"/>
        <w:rPr>
          <w:bCs/>
          <w:sz w:val="20"/>
          <w:szCs w:val="20"/>
        </w:rPr>
      </w:pPr>
    </w:p>
    <w:p w:rsidR="004B68DF" w:rsidRPr="004B68DF" w:rsidRDefault="004B68DF" w:rsidP="004B68DF">
      <w:pPr>
        <w:pStyle w:val="BodyText"/>
        <w:spacing w:after="0"/>
        <w:jc w:val="right"/>
        <w:rPr>
          <w:bCs/>
          <w:sz w:val="20"/>
          <w:szCs w:val="20"/>
        </w:rPr>
      </w:pPr>
      <w:r w:rsidRPr="004B68DF">
        <w:rPr>
          <w:bCs/>
          <w:sz w:val="20"/>
          <w:szCs w:val="20"/>
        </w:rPr>
        <w:t>4.pielikums</w:t>
      </w:r>
    </w:p>
    <w:p w:rsidR="004B68DF" w:rsidRPr="004B68DF" w:rsidRDefault="004B68DF" w:rsidP="004B68DF">
      <w:pPr>
        <w:pStyle w:val="BodyText"/>
        <w:spacing w:after="0"/>
        <w:jc w:val="right"/>
        <w:rPr>
          <w:bCs/>
          <w:sz w:val="20"/>
          <w:szCs w:val="20"/>
        </w:rPr>
      </w:pPr>
      <w:r w:rsidRPr="004B68DF">
        <w:rPr>
          <w:bCs/>
          <w:sz w:val="20"/>
          <w:szCs w:val="20"/>
        </w:rPr>
        <w:t>Ministru kabineta</w:t>
      </w:r>
    </w:p>
    <w:p w:rsidR="004B68DF" w:rsidRPr="004B68DF" w:rsidRDefault="004B68DF" w:rsidP="004B68DF">
      <w:pPr>
        <w:pStyle w:val="BodyText"/>
        <w:spacing w:after="0"/>
        <w:jc w:val="right"/>
        <w:rPr>
          <w:bCs/>
          <w:sz w:val="20"/>
          <w:szCs w:val="20"/>
        </w:rPr>
      </w:pPr>
      <w:r w:rsidRPr="004B68DF">
        <w:rPr>
          <w:bCs/>
          <w:sz w:val="20"/>
          <w:szCs w:val="20"/>
        </w:rPr>
        <w:t>2017.gada 14.novembra</w:t>
      </w:r>
    </w:p>
    <w:p w:rsidR="004B68DF" w:rsidRPr="004B68DF" w:rsidRDefault="004B68DF" w:rsidP="004B68DF">
      <w:pPr>
        <w:pStyle w:val="BodyText"/>
        <w:spacing w:after="0"/>
        <w:jc w:val="right"/>
        <w:rPr>
          <w:bCs/>
          <w:sz w:val="20"/>
          <w:szCs w:val="20"/>
        </w:rPr>
      </w:pPr>
      <w:r w:rsidRPr="004B68DF">
        <w:rPr>
          <w:bCs/>
          <w:sz w:val="20"/>
          <w:szCs w:val="20"/>
        </w:rPr>
        <w:t>noteikumiem Nr.677</w:t>
      </w:r>
    </w:p>
    <w:p w:rsidR="004B68DF" w:rsidRPr="004B68DF" w:rsidRDefault="004B68DF" w:rsidP="004B68DF">
      <w:pPr>
        <w:jc w:val="center"/>
        <w:rPr>
          <w:b/>
          <w:sz w:val="24"/>
          <w:szCs w:val="24"/>
          <w:lang w:val="lv-LV"/>
        </w:rPr>
      </w:pPr>
      <w:r w:rsidRPr="004B68DF">
        <w:rPr>
          <w:b/>
          <w:sz w:val="24"/>
          <w:szCs w:val="24"/>
          <w:lang w:val="lv-LV"/>
        </w:rPr>
        <w:t>Iesniegums - pieprasījums</w:t>
      </w:r>
    </w:p>
    <w:p w:rsidR="004B68DF" w:rsidRPr="004B68DF" w:rsidRDefault="004B68DF" w:rsidP="004B68DF">
      <w:pPr>
        <w:jc w:val="center"/>
        <w:rPr>
          <w:sz w:val="24"/>
          <w:szCs w:val="24"/>
          <w:lang w:val="lv-LV"/>
        </w:rPr>
      </w:pPr>
      <w:r w:rsidRPr="004B68DF">
        <w:rPr>
          <w:sz w:val="24"/>
          <w:szCs w:val="24"/>
          <w:lang w:val="lv-LV"/>
        </w:rPr>
        <w:t xml:space="preserve">par Uzņēmumu ienākuma nodokļa likuma </w:t>
      </w:r>
    </w:p>
    <w:p w:rsidR="004B68DF" w:rsidRPr="004B68DF" w:rsidRDefault="004B68DF" w:rsidP="004B68DF">
      <w:pPr>
        <w:jc w:val="center"/>
        <w:rPr>
          <w:sz w:val="28"/>
          <w:szCs w:val="28"/>
          <w:lang w:val="lv-LV"/>
        </w:rPr>
      </w:pPr>
      <w:r w:rsidRPr="004B68DF">
        <w:rPr>
          <w:sz w:val="24"/>
          <w:szCs w:val="24"/>
          <w:lang w:val="lv-LV"/>
        </w:rPr>
        <w:t>5.panta sestās daļas nepiemērošanu</w:t>
      </w:r>
    </w:p>
    <w:p w:rsidR="004B68DF" w:rsidRPr="004B68DF" w:rsidRDefault="004B68DF" w:rsidP="004B68DF">
      <w:pPr>
        <w:ind w:firstLine="180"/>
        <w:rPr>
          <w:b/>
          <w:lang w:val="lv-LV"/>
        </w:rPr>
      </w:pPr>
      <w:r w:rsidRPr="004B68DF">
        <w:rPr>
          <w:b/>
          <w:lang w:val="lv-LV"/>
        </w:rPr>
        <w:t>I Nodokļa maksātājs</w:t>
      </w:r>
    </w:p>
    <w:tbl>
      <w:tblPr>
        <w:tblW w:w="94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7"/>
        <w:gridCol w:w="384"/>
        <w:gridCol w:w="385"/>
        <w:gridCol w:w="385"/>
        <w:gridCol w:w="386"/>
        <w:gridCol w:w="385"/>
        <w:gridCol w:w="385"/>
        <w:gridCol w:w="386"/>
        <w:gridCol w:w="385"/>
        <w:gridCol w:w="385"/>
        <w:gridCol w:w="386"/>
        <w:gridCol w:w="385"/>
        <w:gridCol w:w="385"/>
        <w:gridCol w:w="386"/>
      </w:tblGrid>
      <w:tr w:rsidR="004B68DF" w:rsidRPr="004B68DF" w:rsidTr="007835E4">
        <w:trPr>
          <w:trHeight w:val="525"/>
        </w:trPr>
        <w:tc>
          <w:tcPr>
            <w:tcW w:w="4403" w:type="dxa"/>
            <w:tcBorders>
              <w:top w:val="double" w:sz="4" w:space="0" w:color="auto"/>
              <w:left w:val="double" w:sz="4" w:space="0" w:color="auto"/>
              <w:bottom w:val="double" w:sz="4" w:space="0" w:color="auto"/>
              <w:right w:val="single" w:sz="4"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Nosaukums</w:t>
            </w:r>
          </w:p>
        </w:tc>
        <w:tc>
          <w:tcPr>
            <w:tcW w:w="5009" w:type="dxa"/>
            <w:gridSpan w:val="13"/>
            <w:tcBorders>
              <w:top w:val="double" w:sz="4" w:space="0" w:color="auto"/>
              <w:left w:val="single" w:sz="4" w:space="0" w:color="auto"/>
              <w:bottom w:val="double" w:sz="4" w:space="0" w:color="auto"/>
              <w:right w:val="double" w:sz="4"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Nodokļa maksātāju reģistrācijas kods</w:t>
            </w:r>
          </w:p>
        </w:tc>
      </w:tr>
      <w:tr w:rsidR="004B68DF" w:rsidRPr="004B68DF" w:rsidTr="007835E4">
        <w:trPr>
          <w:trHeight w:val="117"/>
        </w:trPr>
        <w:tc>
          <w:tcPr>
            <w:tcW w:w="4403" w:type="dxa"/>
            <w:tcBorders>
              <w:top w:val="double" w:sz="4" w:space="0" w:color="auto"/>
              <w:left w:val="double" w:sz="4" w:space="0" w:color="auto"/>
              <w:bottom w:val="nil"/>
              <w:right w:val="single" w:sz="4" w:space="0" w:color="auto"/>
            </w:tcBorders>
            <w:vAlign w:val="center"/>
          </w:tcPr>
          <w:p w:rsidR="004B68DF" w:rsidRPr="004B68DF" w:rsidRDefault="004B68DF" w:rsidP="007835E4">
            <w:pPr>
              <w:spacing w:line="256" w:lineRule="auto"/>
              <w:jc w:val="center"/>
              <w:rPr>
                <w:b/>
                <w:lang w:val="lv-LV" w:eastAsia="en-US"/>
              </w:rPr>
            </w:pPr>
          </w:p>
        </w:tc>
        <w:tc>
          <w:tcPr>
            <w:tcW w:w="5009" w:type="dxa"/>
            <w:gridSpan w:val="13"/>
            <w:tcBorders>
              <w:top w:val="double" w:sz="4" w:space="0" w:color="auto"/>
              <w:left w:val="single" w:sz="4" w:space="0" w:color="auto"/>
              <w:bottom w:val="nil"/>
              <w:right w:val="double" w:sz="4" w:space="0" w:color="auto"/>
            </w:tcBorders>
            <w:vAlign w:val="center"/>
          </w:tcPr>
          <w:p w:rsidR="004B68DF" w:rsidRPr="004B68DF" w:rsidRDefault="004B68DF" w:rsidP="007835E4">
            <w:pPr>
              <w:spacing w:line="256" w:lineRule="auto"/>
              <w:jc w:val="center"/>
              <w:rPr>
                <w:b/>
                <w:lang w:val="lv-LV" w:eastAsia="en-US"/>
              </w:rPr>
            </w:pPr>
          </w:p>
        </w:tc>
      </w:tr>
      <w:tr w:rsidR="004B68DF" w:rsidRPr="004B68DF" w:rsidTr="007835E4">
        <w:trPr>
          <w:trHeight w:val="434"/>
        </w:trPr>
        <w:tc>
          <w:tcPr>
            <w:tcW w:w="4403" w:type="dxa"/>
            <w:tcBorders>
              <w:top w:val="nil"/>
              <w:left w:val="double" w:sz="4" w:space="0" w:color="auto"/>
              <w:bottom w:val="nil"/>
              <w:right w:val="sing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nil"/>
              <w:left w:val="single" w:sz="4" w:space="0" w:color="auto"/>
              <w:bottom w:val="nil"/>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6"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6"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6"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5" w:type="dxa"/>
            <w:tcBorders>
              <w:top w:val="double" w:sz="4" w:space="0" w:color="auto"/>
              <w:left w:val="single" w:sz="4" w:space="0" w:color="auto"/>
              <w:bottom w:val="doub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c>
          <w:tcPr>
            <w:tcW w:w="386" w:type="dxa"/>
            <w:tcBorders>
              <w:top w:val="nil"/>
              <w:left w:val="single" w:sz="4" w:space="0" w:color="auto"/>
              <w:bottom w:val="nil"/>
              <w:right w:val="double" w:sz="4" w:space="0" w:color="auto"/>
            </w:tcBorders>
            <w:vAlign w:val="center"/>
          </w:tcPr>
          <w:p w:rsidR="004B68DF" w:rsidRPr="004B68DF" w:rsidRDefault="004B68DF" w:rsidP="007835E4">
            <w:pPr>
              <w:spacing w:line="256" w:lineRule="auto"/>
              <w:jc w:val="center"/>
              <w:rPr>
                <w:b/>
                <w:lang w:val="lv-LV" w:eastAsia="en-US"/>
              </w:rPr>
            </w:pPr>
          </w:p>
        </w:tc>
      </w:tr>
      <w:tr w:rsidR="004B68DF" w:rsidRPr="004B68DF" w:rsidTr="007835E4">
        <w:trPr>
          <w:trHeight w:val="50"/>
        </w:trPr>
        <w:tc>
          <w:tcPr>
            <w:tcW w:w="4403" w:type="dxa"/>
            <w:tcBorders>
              <w:top w:val="nil"/>
              <w:left w:val="double" w:sz="4" w:space="0" w:color="auto"/>
              <w:bottom w:val="single" w:sz="4" w:space="0" w:color="auto"/>
              <w:right w:val="single" w:sz="4" w:space="0" w:color="auto"/>
            </w:tcBorders>
            <w:vAlign w:val="center"/>
          </w:tcPr>
          <w:p w:rsidR="004B68DF" w:rsidRPr="004B68DF" w:rsidRDefault="004B68DF" w:rsidP="007835E4">
            <w:pPr>
              <w:spacing w:line="256" w:lineRule="auto"/>
              <w:jc w:val="center"/>
              <w:rPr>
                <w:b/>
                <w:lang w:val="lv-LV" w:eastAsia="en-US"/>
              </w:rPr>
            </w:pPr>
          </w:p>
        </w:tc>
        <w:tc>
          <w:tcPr>
            <w:tcW w:w="5009" w:type="dxa"/>
            <w:gridSpan w:val="13"/>
            <w:tcBorders>
              <w:top w:val="nil"/>
              <w:left w:val="single" w:sz="4" w:space="0" w:color="auto"/>
              <w:bottom w:val="single" w:sz="4" w:space="0" w:color="auto"/>
              <w:right w:val="double" w:sz="4" w:space="0" w:color="auto"/>
            </w:tcBorders>
            <w:vAlign w:val="center"/>
          </w:tcPr>
          <w:p w:rsidR="004B68DF" w:rsidRPr="004B68DF" w:rsidRDefault="004B68DF" w:rsidP="007835E4">
            <w:pPr>
              <w:spacing w:line="256" w:lineRule="auto"/>
              <w:jc w:val="center"/>
              <w:rPr>
                <w:b/>
                <w:lang w:val="lv-LV" w:eastAsia="en-US"/>
              </w:rPr>
            </w:pPr>
          </w:p>
        </w:tc>
      </w:tr>
    </w:tbl>
    <w:p w:rsidR="004B68DF" w:rsidRPr="004B68DF" w:rsidRDefault="004B68DF" w:rsidP="004B68DF">
      <w:pPr>
        <w:jc w:val="both"/>
        <w:rPr>
          <w:lang w:val="lv-LV"/>
        </w:rPr>
      </w:pPr>
    </w:p>
    <w:tbl>
      <w:tblPr>
        <w:tblW w:w="9405"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305"/>
        <w:gridCol w:w="4447"/>
        <w:gridCol w:w="1653"/>
      </w:tblGrid>
      <w:tr w:rsidR="004B68DF" w:rsidRPr="004B68DF" w:rsidTr="007835E4">
        <w:trPr>
          <w:trHeight w:val="415"/>
        </w:trPr>
        <w:tc>
          <w:tcPr>
            <w:tcW w:w="3308" w:type="dxa"/>
            <w:tcBorders>
              <w:top w:val="double" w:sz="4" w:space="0" w:color="auto"/>
              <w:left w:val="double" w:sz="4" w:space="0" w:color="auto"/>
              <w:bottom w:val="single" w:sz="6" w:space="0" w:color="auto"/>
              <w:right w:val="single" w:sz="6"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Iela, numurs</w:t>
            </w:r>
          </w:p>
        </w:tc>
        <w:tc>
          <w:tcPr>
            <w:tcW w:w="4450" w:type="dxa"/>
            <w:tcBorders>
              <w:top w:val="double" w:sz="4" w:space="0" w:color="auto"/>
              <w:left w:val="single" w:sz="6" w:space="0" w:color="auto"/>
              <w:bottom w:val="single" w:sz="6" w:space="0" w:color="auto"/>
              <w:right w:val="single" w:sz="6"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Pilsēta, apdzīvota vieta</w:t>
            </w:r>
          </w:p>
        </w:tc>
        <w:tc>
          <w:tcPr>
            <w:tcW w:w="1654" w:type="dxa"/>
            <w:tcBorders>
              <w:top w:val="double" w:sz="4" w:space="0" w:color="auto"/>
              <w:left w:val="single" w:sz="6" w:space="0" w:color="auto"/>
              <w:bottom w:val="single" w:sz="6" w:space="0" w:color="auto"/>
              <w:right w:val="double" w:sz="4"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Pasta indekss</w:t>
            </w:r>
          </w:p>
        </w:tc>
      </w:tr>
      <w:tr w:rsidR="004B68DF" w:rsidRPr="004B68DF" w:rsidTr="007835E4">
        <w:trPr>
          <w:trHeight w:val="360"/>
        </w:trPr>
        <w:tc>
          <w:tcPr>
            <w:tcW w:w="3308" w:type="dxa"/>
            <w:tcBorders>
              <w:top w:val="single" w:sz="6" w:space="0" w:color="auto"/>
              <w:left w:val="double" w:sz="4" w:space="0" w:color="auto"/>
              <w:bottom w:val="double" w:sz="4" w:space="0" w:color="auto"/>
              <w:right w:val="single" w:sz="6" w:space="0" w:color="auto"/>
            </w:tcBorders>
          </w:tcPr>
          <w:p w:rsidR="004B68DF" w:rsidRPr="004B68DF" w:rsidRDefault="004B68DF" w:rsidP="007835E4">
            <w:pPr>
              <w:spacing w:line="256" w:lineRule="auto"/>
              <w:jc w:val="both"/>
              <w:rPr>
                <w:lang w:val="lv-LV" w:eastAsia="en-US"/>
              </w:rPr>
            </w:pPr>
          </w:p>
        </w:tc>
        <w:tc>
          <w:tcPr>
            <w:tcW w:w="4450" w:type="dxa"/>
            <w:tcBorders>
              <w:top w:val="single" w:sz="6" w:space="0" w:color="auto"/>
              <w:left w:val="single" w:sz="6" w:space="0" w:color="auto"/>
              <w:bottom w:val="double" w:sz="4" w:space="0" w:color="auto"/>
              <w:right w:val="single" w:sz="6" w:space="0" w:color="auto"/>
            </w:tcBorders>
          </w:tcPr>
          <w:p w:rsidR="004B68DF" w:rsidRPr="004B68DF" w:rsidRDefault="004B68DF" w:rsidP="007835E4">
            <w:pPr>
              <w:spacing w:line="256" w:lineRule="auto"/>
              <w:jc w:val="both"/>
              <w:rPr>
                <w:lang w:val="lv-LV" w:eastAsia="en-US"/>
              </w:rPr>
            </w:pPr>
          </w:p>
        </w:tc>
        <w:tc>
          <w:tcPr>
            <w:tcW w:w="1654" w:type="dxa"/>
            <w:tcBorders>
              <w:top w:val="single" w:sz="6" w:space="0" w:color="auto"/>
              <w:left w:val="single" w:sz="6" w:space="0" w:color="auto"/>
              <w:bottom w:val="double" w:sz="4" w:space="0" w:color="auto"/>
              <w:right w:val="double" w:sz="4" w:space="0" w:color="auto"/>
            </w:tcBorders>
          </w:tcPr>
          <w:p w:rsidR="004B68DF" w:rsidRPr="004B68DF" w:rsidRDefault="004B68DF" w:rsidP="007835E4">
            <w:pPr>
              <w:spacing w:line="256" w:lineRule="auto"/>
              <w:jc w:val="both"/>
              <w:rPr>
                <w:lang w:val="lv-LV" w:eastAsia="en-US"/>
              </w:rPr>
            </w:pPr>
          </w:p>
        </w:tc>
      </w:tr>
    </w:tbl>
    <w:p w:rsidR="004B68DF" w:rsidRPr="004B68DF" w:rsidRDefault="004B68DF" w:rsidP="004B68DF">
      <w:pPr>
        <w:rPr>
          <w:lang w:val="lv-LV"/>
        </w:rPr>
      </w:pPr>
    </w:p>
    <w:p w:rsidR="004B68DF" w:rsidRPr="004B68DF" w:rsidRDefault="004B68DF" w:rsidP="004B68DF">
      <w:pPr>
        <w:ind w:firstLine="180"/>
        <w:rPr>
          <w:b/>
          <w:lang w:val="lv-LV"/>
        </w:rPr>
      </w:pPr>
      <w:r w:rsidRPr="004B68DF">
        <w:rPr>
          <w:b/>
          <w:lang w:val="lv-LV"/>
        </w:rPr>
        <w:t>II Maksājuma veids un tā saņēmējs</w:t>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5"/>
        <w:gridCol w:w="3827"/>
        <w:gridCol w:w="1559"/>
        <w:gridCol w:w="2268"/>
      </w:tblGrid>
      <w:tr w:rsidR="004B68DF" w:rsidRPr="004B68DF" w:rsidTr="007835E4">
        <w:tc>
          <w:tcPr>
            <w:tcW w:w="1805" w:type="dxa"/>
            <w:tcBorders>
              <w:top w:val="double" w:sz="4" w:space="0" w:color="auto"/>
              <w:left w:val="double" w:sz="4" w:space="0" w:color="auto"/>
              <w:bottom w:val="single" w:sz="4" w:space="0" w:color="auto"/>
              <w:right w:val="single" w:sz="4"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Maksājuma veids</w:t>
            </w:r>
          </w:p>
        </w:tc>
        <w:tc>
          <w:tcPr>
            <w:tcW w:w="3827" w:type="dxa"/>
            <w:tcBorders>
              <w:top w:val="double" w:sz="4" w:space="0" w:color="auto"/>
              <w:left w:val="single" w:sz="4" w:space="0" w:color="auto"/>
              <w:bottom w:val="single" w:sz="4" w:space="0" w:color="auto"/>
              <w:right w:val="single" w:sz="4"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Maksājuma saņēmējs (nosaukums, vārds, uzvārds, adrese, reģistrācijas numurs, konta nr. kredītiestādē)</w:t>
            </w:r>
          </w:p>
        </w:tc>
        <w:tc>
          <w:tcPr>
            <w:tcW w:w="1559" w:type="dxa"/>
            <w:tcBorders>
              <w:top w:val="double" w:sz="4" w:space="0" w:color="auto"/>
              <w:left w:val="single" w:sz="4" w:space="0" w:color="auto"/>
              <w:bottom w:val="single" w:sz="4" w:space="0" w:color="auto"/>
              <w:right w:val="single" w:sz="4"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Piemērojamās cenas</w:t>
            </w:r>
          </w:p>
          <w:p w:rsidR="004B68DF" w:rsidRPr="004B68DF" w:rsidRDefault="004B68DF" w:rsidP="007835E4">
            <w:pPr>
              <w:spacing w:line="256" w:lineRule="auto"/>
              <w:jc w:val="center"/>
              <w:rPr>
                <w:b/>
                <w:lang w:val="lv-LV" w:eastAsia="en-US"/>
              </w:rPr>
            </w:pPr>
            <w:r w:rsidRPr="004B68DF">
              <w:rPr>
                <w:b/>
                <w:lang w:val="lv-LV" w:eastAsia="en-US"/>
              </w:rPr>
              <w:t>(</w:t>
            </w:r>
            <w:r w:rsidRPr="004B68DF">
              <w:rPr>
                <w:b/>
                <w:i/>
                <w:lang w:val="lv-LV" w:eastAsia="en-US"/>
              </w:rPr>
              <w:t>euro</w:t>
            </w:r>
            <w:r w:rsidRPr="004B68DF">
              <w:rPr>
                <w:b/>
                <w:lang w:val="lv-LV" w:eastAsia="en-US"/>
              </w:rPr>
              <w:t>)</w:t>
            </w:r>
          </w:p>
        </w:tc>
        <w:tc>
          <w:tcPr>
            <w:tcW w:w="2268" w:type="dxa"/>
            <w:tcBorders>
              <w:top w:val="double" w:sz="4" w:space="0" w:color="auto"/>
              <w:left w:val="single" w:sz="4" w:space="0" w:color="auto"/>
              <w:bottom w:val="single" w:sz="4" w:space="0" w:color="auto"/>
              <w:right w:val="double" w:sz="4" w:space="0" w:color="auto"/>
            </w:tcBorders>
            <w:vAlign w:val="center"/>
            <w:hideMark/>
          </w:tcPr>
          <w:p w:rsidR="004B68DF" w:rsidRPr="004B68DF" w:rsidRDefault="004B68DF" w:rsidP="007835E4">
            <w:pPr>
              <w:spacing w:line="256" w:lineRule="auto"/>
              <w:jc w:val="center"/>
              <w:rPr>
                <w:b/>
                <w:lang w:val="lv-LV" w:eastAsia="en-US"/>
              </w:rPr>
            </w:pPr>
            <w:r w:rsidRPr="004B68DF">
              <w:rPr>
                <w:b/>
                <w:lang w:val="lv-LV" w:eastAsia="en-US"/>
              </w:rPr>
              <w:t>Ar nodokļa maksātāju saistītas personas vai uzņēmumi</w:t>
            </w:r>
          </w:p>
        </w:tc>
      </w:tr>
      <w:tr w:rsidR="004B68DF" w:rsidRPr="004B68DF" w:rsidTr="007835E4">
        <w:trPr>
          <w:trHeight w:val="1552"/>
        </w:trPr>
        <w:tc>
          <w:tcPr>
            <w:tcW w:w="1805" w:type="dxa"/>
            <w:tcBorders>
              <w:top w:val="single" w:sz="4" w:space="0" w:color="auto"/>
              <w:left w:val="double" w:sz="4" w:space="0" w:color="auto"/>
              <w:bottom w:val="double" w:sz="4" w:space="0" w:color="auto"/>
              <w:right w:val="single" w:sz="4" w:space="0" w:color="auto"/>
            </w:tcBorders>
            <w:hideMark/>
          </w:tcPr>
          <w:p w:rsidR="004B68DF" w:rsidRPr="004B68DF" w:rsidRDefault="004B68DF" w:rsidP="007835E4">
            <w:pPr>
              <w:spacing w:line="256" w:lineRule="auto"/>
              <w:rPr>
                <w:lang w:val="lv-LV" w:eastAsia="en-US"/>
              </w:rPr>
            </w:pPr>
            <w:r w:rsidRPr="004B68DF">
              <w:rPr>
                <w:lang w:val="lv-LV" w:eastAsia="en-US"/>
              </w:rPr>
              <w:t xml:space="preserve">                       </w:t>
            </w:r>
          </w:p>
        </w:tc>
        <w:tc>
          <w:tcPr>
            <w:tcW w:w="3827" w:type="dxa"/>
            <w:tcBorders>
              <w:top w:val="single" w:sz="4" w:space="0" w:color="auto"/>
              <w:left w:val="single" w:sz="4" w:space="0" w:color="auto"/>
              <w:bottom w:val="double" w:sz="4" w:space="0" w:color="auto"/>
              <w:right w:val="single" w:sz="4" w:space="0" w:color="auto"/>
            </w:tcBorders>
          </w:tcPr>
          <w:p w:rsidR="004B68DF" w:rsidRPr="004B68DF" w:rsidRDefault="004B68DF" w:rsidP="007835E4">
            <w:pPr>
              <w:spacing w:line="256" w:lineRule="auto"/>
              <w:rPr>
                <w:lang w:val="lv-LV" w:eastAsia="en-US"/>
              </w:rPr>
            </w:pPr>
          </w:p>
        </w:tc>
        <w:tc>
          <w:tcPr>
            <w:tcW w:w="1559" w:type="dxa"/>
            <w:tcBorders>
              <w:top w:val="single" w:sz="4" w:space="0" w:color="auto"/>
              <w:left w:val="single" w:sz="4" w:space="0" w:color="auto"/>
              <w:bottom w:val="double" w:sz="4" w:space="0" w:color="auto"/>
              <w:right w:val="single" w:sz="4" w:space="0" w:color="auto"/>
            </w:tcBorders>
          </w:tcPr>
          <w:p w:rsidR="004B68DF" w:rsidRPr="004B68DF" w:rsidRDefault="004B68DF" w:rsidP="007835E4">
            <w:pPr>
              <w:spacing w:line="256" w:lineRule="auto"/>
              <w:rPr>
                <w:lang w:val="lv-LV" w:eastAsia="en-US"/>
              </w:rPr>
            </w:pPr>
          </w:p>
        </w:tc>
        <w:tc>
          <w:tcPr>
            <w:tcW w:w="2268" w:type="dxa"/>
            <w:tcBorders>
              <w:top w:val="single" w:sz="4" w:space="0" w:color="auto"/>
              <w:left w:val="single" w:sz="4" w:space="0" w:color="auto"/>
              <w:bottom w:val="double" w:sz="4" w:space="0" w:color="auto"/>
              <w:right w:val="double" w:sz="4" w:space="0" w:color="auto"/>
            </w:tcBorders>
          </w:tcPr>
          <w:p w:rsidR="004B68DF" w:rsidRPr="004B68DF" w:rsidRDefault="004B68DF" w:rsidP="007835E4">
            <w:pPr>
              <w:spacing w:line="256" w:lineRule="auto"/>
              <w:rPr>
                <w:lang w:val="lv-LV" w:eastAsia="en-US"/>
              </w:rPr>
            </w:pPr>
          </w:p>
        </w:tc>
      </w:tr>
    </w:tbl>
    <w:p w:rsidR="004B68DF" w:rsidRPr="004B68DF" w:rsidRDefault="004B68DF" w:rsidP="004B68DF">
      <w:pPr>
        <w:rPr>
          <w:lang w:val="lv-LV"/>
        </w:rPr>
      </w:pPr>
    </w:p>
    <w:p w:rsidR="004B68DF" w:rsidRPr="004B68DF" w:rsidRDefault="004B68DF" w:rsidP="004B68DF">
      <w:pPr>
        <w:ind w:left="180"/>
        <w:rPr>
          <w:b/>
          <w:lang w:val="lv-LV"/>
        </w:rPr>
      </w:pPr>
      <w:r w:rsidRPr="004B68DF">
        <w:rPr>
          <w:b/>
          <w:lang w:val="lv-LV"/>
        </w:rPr>
        <w:t>III Pamatojums (apstākļi, kas noteikuši nepieciešamību veikt maksājumu (darījumu))</w:t>
      </w:r>
    </w:p>
    <w:tbl>
      <w:tblPr>
        <w:tblW w:w="9464" w:type="dxa"/>
        <w:tblInd w:w="28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464"/>
      </w:tblGrid>
      <w:tr w:rsidR="004B68DF" w:rsidRPr="009D797C" w:rsidTr="007835E4">
        <w:trPr>
          <w:trHeight w:val="641"/>
        </w:trPr>
        <w:tc>
          <w:tcPr>
            <w:tcW w:w="9464" w:type="dxa"/>
            <w:tcBorders>
              <w:top w:val="double" w:sz="4" w:space="0" w:color="auto"/>
              <w:left w:val="double" w:sz="4" w:space="0" w:color="auto"/>
              <w:bottom w:val="double" w:sz="4" w:space="0" w:color="auto"/>
              <w:right w:val="double" w:sz="4" w:space="0" w:color="auto"/>
            </w:tcBorders>
          </w:tcPr>
          <w:p w:rsidR="004B68DF" w:rsidRPr="004B68DF" w:rsidRDefault="004B68DF" w:rsidP="007835E4">
            <w:pPr>
              <w:spacing w:line="256" w:lineRule="auto"/>
              <w:ind w:left="138" w:hanging="138"/>
              <w:jc w:val="both"/>
              <w:rPr>
                <w:lang w:val="lv-LV" w:eastAsia="en-US"/>
              </w:rPr>
            </w:pPr>
          </w:p>
          <w:p w:rsidR="004B68DF" w:rsidRPr="004B68DF" w:rsidRDefault="004B68DF" w:rsidP="007835E4">
            <w:pPr>
              <w:spacing w:line="256" w:lineRule="auto"/>
              <w:ind w:left="138" w:hanging="138"/>
              <w:jc w:val="both"/>
              <w:rPr>
                <w:lang w:val="lv-LV" w:eastAsia="en-US"/>
              </w:rPr>
            </w:pPr>
          </w:p>
          <w:p w:rsidR="004B68DF" w:rsidRPr="004B68DF" w:rsidRDefault="004B68DF" w:rsidP="007835E4">
            <w:pPr>
              <w:spacing w:line="256" w:lineRule="auto"/>
              <w:ind w:left="138" w:hanging="138"/>
              <w:jc w:val="both"/>
              <w:rPr>
                <w:lang w:val="lv-LV" w:eastAsia="en-US"/>
              </w:rPr>
            </w:pPr>
          </w:p>
          <w:p w:rsidR="004B68DF" w:rsidRPr="004B68DF" w:rsidRDefault="004B68DF" w:rsidP="007835E4">
            <w:pPr>
              <w:spacing w:line="256" w:lineRule="auto"/>
              <w:ind w:left="138" w:hanging="138"/>
              <w:jc w:val="both"/>
              <w:rPr>
                <w:lang w:val="lv-LV" w:eastAsia="en-US"/>
              </w:rPr>
            </w:pPr>
          </w:p>
        </w:tc>
      </w:tr>
    </w:tbl>
    <w:p w:rsidR="004B68DF" w:rsidRPr="004B68DF" w:rsidRDefault="004B68DF" w:rsidP="004B68DF">
      <w:pPr>
        <w:ind w:left="180"/>
        <w:rPr>
          <w:b/>
          <w:lang w:val="lv-LV"/>
        </w:rPr>
      </w:pPr>
    </w:p>
    <w:p w:rsidR="004B68DF" w:rsidRPr="004B68DF" w:rsidRDefault="004B68DF" w:rsidP="004B68DF">
      <w:pPr>
        <w:ind w:left="180"/>
        <w:rPr>
          <w:b/>
          <w:lang w:val="lv-LV"/>
        </w:rPr>
      </w:pPr>
      <w:r w:rsidRPr="004B68DF">
        <w:rPr>
          <w:b/>
          <w:lang w:val="lv-LV"/>
        </w:rPr>
        <w:t>IV Nodokļa maksātāja apliecinājums</w:t>
      </w:r>
    </w:p>
    <w:p w:rsidR="004B68DF" w:rsidRPr="004B68DF" w:rsidRDefault="004B68DF" w:rsidP="004B68DF">
      <w:pPr>
        <w:ind w:left="180"/>
        <w:rPr>
          <w:lang w:val="lv-LV"/>
        </w:rPr>
      </w:pPr>
    </w:p>
    <w:p w:rsidR="004B68DF" w:rsidRPr="004B68DF" w:rsidRDefault="004B68DF" w:rsidP="004B68DF">
      <w:pPr>
        <w:ind w:left="180"/>
        <w:jc w:val="both"/>
        <w:rPr>
          <w:lang w:val="lv-LV"/>
        </w:rPr>
      </w:pPr>
      <w:r w:rsidRPr="004B68DF">
        <w:rPr>
          <w:lang w:val="lv-LV"/>
        </w:rPr>
        <w:tab/>
        <w:t>Maksājuma (darījuma) mērķis nav nodokļa maksātāja apliekamā ienākuma samazināšana vai nodokļa nemaksāšana Latvijas Republikā.</w:t>
      </w:r>
    </w:p>
    <w:p w:rsidR="004B68DF" w:rsidRPr="004B68DF" w:rsidRDefault="004B68DF" w:rsidP="004B68DF">
      <w:pPr>
        <w:ind w:left="180"/>
        <w:jc w:val="both"/>
        <w:rPr>
          <w:lang w:val="lv-LV"/>
        </w:rPr>
      </w:pPr>
      <w:r w:rsidRPr="004B68DF">
        <w:rPr>
          <w:lang w:val="lv-LV"/>
        </w:rPr>
        <w:tab/>
        <w:t>Nodokļa maksātājs vai ar to saistītas personas vai uzņēmumi nav tieši vai netieši līdzdalībnieki personā - maksājumu saņēmējā.</w:t>
      </w:r>
    </w:p>
    <w:p w:rsidR="004B68DF" w:rsidRPr="004B68DF" w:rsidRDefault="004B68DF" w:rsidP="004B68DF">
      <w:pPr>
        <w:ind w:left="180"/>
        <w:jc w:val="both"/>
        <w:rPr>
          <w:b/>
          <w:lang w:val="lv-LV"/>
        </w:rPr>
      </w:pPr>
    </w:p>
    <w:p w:rsidR="004B68DF" w:rsidRPr="004B68DF" w:rsidRDefault="004B68DF" w:rsidP="004B68DF">
      <w:pPr>
        <w:ind w:left="180"/>
        <w:jc w:val="both"/>
        <w:rPr>
          <w:b/>
          <w:lang w:val="lv-LV"/>
        </w:rPr>
      </w:pPr>
      <w:r w:rsidRPr="004B68DF">
        <w:rPr>
          <w:b/>
          <w:lang w:val="lv-LV"/>
        </w:rPr>
        <w:t>V Cita informācija</w:t>
      </w:r>
    </w:p>
    <w:tbl>
      <w:tblPr>
        <w:tblW w:w="9465" w:type="dxa"/>
        <w:tblInd w:w="28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465"/>
      </w:tblGrid>
      <w:tr w:rsidR="004B68DF" w:rsidRPr="004B68DF" w:rsidTr="007835E4">
        <w:trPr>
          <w:trHeight w:val="894"/>
        </w:trPr>
        <w:tc>
          <w:tcPr>
            <w:tcW w:w="9459" w:type="dxa"/>
            <w:tcBorders>
              <w:top w:val="double" w:sz="4" w:space="0" w:color="auto"/>
              <w:left w:val="double" w:sz="4" w:space="0" w:color="auto"/>
              <w:bottom w:val="double" w:sz="4" w:space="0" w:color="auto"/>
              <w:right w:val="double" w:sz="4" w:space="0" w:color="auto"/>
            </w:tcBorders>
          </w:tcPr>
          <w:p w:rsidR="004B68DF" w:rsidRPr="004B68DF" w:rsidRDefault="004B68DF" w:rsidP="007835E4">
            <w:pPr>
              <w:spacing w:line="256" w:lineRule="auto"/>
              <w:jc w:val="both"/>
              <w:rPr>
                <w:lang w:val="lv-LV" w:eastAsia="en-US"/>
              </w:rPr>
            </w:pPr>
          </w:p>
        </w:tc>
      </w:tr>
    </w:tbl>
    <w:p w:rsidR="004B68DF" w:rsidRPr="004B68DF" w:rsidRDefault="004B68DF" w:rsidP="004B68DF">
      <w:pPr>
        <w:rPr>
          <w:lang w:val="lv-LV"/>
        </w:rPr>
      </w:pPr>
    </w:p>
    <w:tbl>
      <w:tblPr>
        <w:tblW w:w="9465"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218"/>
        <w:gridCol w:w="5247"/>
      </w:tblGrid>
      <w:tr w:rsidR="004B68DF" w:rsidRPr="004B68DF" w:rsidTr="007835E4">
        <w:trPr>
          <w:trHeight w:val="1623"/>
        </w:trPr>
        <w:tc>
          <w:tcPr>
            <w:tcW w:w="4215" w:type="dxa"/>
            <w:tcBorders>
              <w:top w:val="double" w:sz="4" w:space="0" w:color="auto"/>
              <w:left w:val="double" w:sz="4" w:space="0" w:color="auto"/>
              <w:bottom w:val="double" w:sz="4" w:space="0" w:color="auto"/>
              <w:right w:val="single" w:sz="6" w:space="0" w:color="auto"/>
            </w:tcBorders>
          </w:tcPr>
          <w:p w:rsidR="004B68DF" w:rsidRPr="004B68DF" w:rsidRDefault="004B68DF" w:rsidP="007835E4">
            <w:pPr>
              <w:spacing w:line="256" w:lineRule="auto"/>
              <w:rPr>
                <w:lang w:val="lv-LV" w:eastAsia="en-US"/>
              </w:rPr>
            </w:pPr>
            <w:r w:rsidRPr="004B68DF">
              <w:rPr>
                <w:lang w:val="lv-LV" w:eastAsia="en-US"/>
              </w:rPr>
              <w:t>Apstiprinu, ka iesniegumā - pieprasījumā sniegtā informācija ir pilnīga un pareiza.</w:t>
            </w:r>
          </w:p>
          <w:p w:rsidR="004B68DF" w:rsidRPr="004B68DF" w:rsidRDefault="004B68DF" w:rsidP="007835E4">
            <w:pPr>
              <w:spacing w:line="256" w:lineRule="auto"/>
              <w:rPr>
                <w:lang w:val="lv-LV" w:eastAsia="en-US"/>
              </w:rPr>
            </w:pPr>
          </w:p>
          <w:p w:rsidR="004B68DF" w:rsidRPr="004B68DF" w:rsidRDefault="004B68DF" w:rsidP="007835E4">
            <w:pPr>
              <w:spacing w:line="256" w:lineRule="auto"/>
              <w:rPr>
                <w:lang w:val="lv-LV" w:eastAsia="en-US"/>
              </w:rPr>
            </w:pPr>
            <w:r w:rsidRPr="004B68DF">
              <w:rPr>
                <w:lang w:val="lv-LV" w:eastAsia="en-US"/>
              </w:rPr>
              <w:t>____________________     _____________</w:t>
            </w:r>
          </w:p>
          <w:p w:rsidR="004B68DF" w:rsidRPr="004B68DF" w:rsidRDefault="004B68DF" w:rsidP="007835E4">
            <w:pPr>
              <w:spacing w:line="256" w:lineRule="auto"/>
              <w:rPr>
                <w:lang w:val="lv-LV" w:eastAsia="en-US"/>
              </w:rPr>
            </w:pPr>
            <w:r w:rsidRPr="004B68DF">
              <w:rPr>
                <w:lang w:val="lv-LV" w:eastAsia="en-US"/>
              </w:rPr>
              <w:t>atbildīgās amatpersonas                    datums</w:t>
            </w:r>
          </w:p>
          <w:p w:rsidR="004B68DF" w:rsidRPr="004B68DF" w:rsidRDefault="004B68DF" w:rsidP="007835E4">
            <w:pPr>
              <w:spacing w:line="256" w:lineRule="auto"/>
              <w:rPr>
                <w:lang w:val="lv-LV" w:eastAsia="en-US"/>
              </w:rPr>
            </w:pPr>
            <w:r w:rsidRPr="004B68DF">
              <w:rPr>
                <w:lang w:val="lv-LV" w:eastAsia="en-US"/>
              </w:rPr>
              <w:t>paraksts un  tā atšifrējums</w:t>
            </w:r>
          </w:p>
          <w:p w:rsidR="004B68DF" w:rsidRPr="004B68DF" w:rsidRDefault="004B68DF" w:rsidP="007835E4">
            <w:pPr>
              <w:spacing w:line="256" w:lineRule="auto"/>
              <w:rPr>
                <w:lang w:val="lv-LV" w:eastAsia="en-US"/>
              </w:rPr>
            </w:pPr>
            <w:r w:rsidRPr="004B68DF">
              <w:rPr>
                <w:lang w:val="lv-LV" w:eastAsia="en-US"/>
              </w:rPr>
              <w:t xml:space="preserve">              </w:t>
            </w:r>
          </w:p>
        </w:tc>
        <w:tc>
          <w:tcPr>
            <w:tcW w:w="5244" w:type="dxa"/>
            <w:tcBorders>
              <w:top w:val="double" w:sz="4" w:space="0" w:color="auto"/>
              <w:left w:val="single" w:sz="6" w:space="0" w:color="auto"/>
              <w:bottom w:val="double" w:sz="4" w:space="0" w:color="auto"/>
              <w:right w:val="double" w:sz="4" w:space="0" w:color="auto"/>
            </w:tcBorders>
          </w:tcPr>
          <w:p w:rsidR="004B68DF" w:rsidRPr="004B68DF" w:rsidRDefault="004B68DF" w:rsidP="007835E4">
            <w:pPr>
              <w:spacing w:line="256" w:lineRule="auto"/>
              <w:rPr>
                <w:lang w:val="lv-LV" w:eastAsia="en-US"/>
              </w:rPr>
            </w:pPr>
            <w:r w:rsidRPr="004B68DF">
              <w:rPr>
                <w:lang w:val="lv-LV" w:eastAsia="en-US"/>
              </w:rPr>
              <w:t>VID apstiprinājums. Iesniegums -pieprasījums saņemts.</w:t>
            </w:r>
          </w:p>
          <w:p w:rsidR="004B68DF" w:rsidRPr="004B68DF" w:rsidRDefault="004B68DF" w:rsidP="007835E4">
            <w:pPr>
              <w:spacing w:line="256" w:lineRule="auto"/>
              <w:rPr>
                <w:lang w:val="lv-LV" w:eastAsia="en-US"/>
              </w:rPr>
            </w:pPr>
          </w:p>
          <w:p w:rsidR="004B68DF" w:rsidRPr="004B68DF" w:rsidRDefault="004B68DF" w:rsidP="007835E4">
            <w:pPr>
              <w:spacing w:line="256" w:lineRule="auto"/>
              <w:rPr>
                <w:lang w:val="lv-LV" w:eastAsia="en-US"/>
              </w:rPr>
            </w:pPr>
            <w:r w:rsidRPr="004B68DF">
              <w:rPr>
                <w:lang w:val="lv-LV" w:eastAsia="en-US"/>
              </w:rPr>
              <w:t>___________________________        ______________</w:t>
            </w:r>
          </w:p>
          <w:p w:rsidR="004B68DF" w:rsidRPr="004B68DF" w:rsidRDefault="004B68DF" w:rsidP="007835E4">
            <w:pPr>
              <w:spacing w:line="256" w:lineRule="auto"/>
              <w:rPr>
                <w:lang w:val="lv-LV" w:eastAsia="en-US"/>
              </w:rPr>
            </w:pPr>
            <w:r w:rsidRPr="004B68DF">
              <w:rPr>
                <w:lang w:val="lv-LV" w:eastAsia="en-US"/>
              </w:rPr>
              <w:t xml:space="preserve">           nodokļu inspektora                               datums</w:t>
            </w:r>
          </w:p>
          <w:p w:rsidR="004B68DF" w:rsidRPr="004B68DF" w:rsidRDefault="004B68DF" w:rsidP="007835E4">
            <w:pPr>
              <w:spacing w:line="256" w:lineRule="auto"/>
              <w:rPr>
                <w:lang w:val="lv-LV" w:eastAsia="en-US"/>
              </w:rPr>
            </w:pPr>
            <w:r w:rsidRPr="004B68DF">
              <w:rPr>
                <w:lang w:val="lv-LV" w:eastAsia="en-US"/>
              </w:rPr>
              <w:t xml:space="preserve">      paraksts un tā atšifrējums</w:t>
            </w:r>
          </w:p>
        </w:tc>
      </w:tr>
    </w:tbl>
    <w:p w:rsidR="00614C44" w:rsidRPr="00614C44" w:rsidRDefault="009D797C" w:rsidP="00614C44">
      <w:pPr>
        <w:jc w:val="both"/>
        <w:rPr>
          <w:sz w:val="24"/>
          <w:szCs w:val="24"/>
          <w:lang w:val="lv-LV"/>
        </w:rPr>
      </w:pPr>
      <w:r>
        <w:rPr>
          <w:sz w:val="24"/>
          <w:szCs w:val="24"/>
          <w:lang w:val="lv-LV"/>
        </w:rPr>
        <w:t>02.02.</w:t>
      </w:r>
      <w:bookmarkStart w:id="0" w:name="_GoBack"/>
      <w:bookmarkEnd w:id="0"/>
      <w:r w:rsidR="00614C44" w:rsidRPr="00614C44">
        <w:rPr>
          <w:sz w:val="24"/>
          <w:szCs w:val="24"/>
          <w:lang w:val="lv-LV"/>
        </w:rPr>
        <w:t>201</w:t>
      </w:r>
      <w:r w:rsidR="00413802">
        <w:rPr>
          <w:sz w:val="24"/>
          <w:szCs w:val="24"/>
          <w:lang w:val="lv-LV"/>
        </w:rPr>
        <w:t>8</w:t>
      </w:r>
      <w:r w:rsidR="00614C44" w:rsidRPr="00614C44">
        <w:rPr>
          <w:sz w:val="24"/>
          <w:szCs w:val="24"/>
          <w:lang w:val="lv-LV"/>
        </w:rPr>
        <w:t>.</w:t>
      </w:r>
    </w:p>
    <w:p w:rsidR="00614C44" w:rsidRPr="00614C44" w:rsidRDefault="00614C44" w:rsidP="00614C44">
      <w:pPr>
        <w:jc w:val="both"/>
        <w:rPr>
          <w:sz w:val="24"/>
          <w:szCs w:val="24"/>
          <w:lang w:val="lv-LV"/>
        </w:rPr>
      </w:pPr>
      <w:r w:rsidRPr="00614C44">
        <w:rPr>
          <w:sz w:val="24"/>
          <w:szCs w:val="24"/>
          <w:lang w:val="lv-LV"/>
        </w:rPr>
        <w:t>Informāciju sagatavoja:</w:t>
      </w:r>
    </w:p>
    <w:p w:rsidR="00614C44" w:rsidRPr="00614C44" w:rsidRDefault="00614C44" w:rsidP="00614C44">
      <w:pPr>
        <w:jc w:val="both"/>
        <w:rPr>
          <w:sz w:val="24"/>
          <w:szCs w:val="24"/>
          <w:lang w:val="lv-LV"/>
        </w:rPr>
      </w:pPr>
      <w:r w:rsidRPr="00614C44">
        <w:rPr>
          <w:sz w:val="24"/>
          <w:szCs w:val="24"/>
          <w:lang w:val="lv-LV"/>
        </w:rPr>
        <w:t>VID Nodokļu pārvalde</w:t>
      </w:r>
    </w:p>
    <w:sectPr w:rsidR="00614C44" w:rsidRPr="00614C44" w:rsidSect="005F50F4">
      <w:headerReference w:type="even" r:id="rId8"/>
      <w:headerReference w:type="default" r:id="rId9"/>
      <w:pgSz w:w="11906" w:h="16838"/>
      <w:pgMar w:top="709" w:right="1274"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E0" w:rsidRDefault="007923E0">
      <w:r>
        <w:separator/>
      </w:r>
    </w:p>
  </w:endnote>
  <w:endnote w:type="continuationSeparator" w:id="0">
    <w:p w:rsidR="007923E0" w:rsidRDefault="0079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E0" w:rsidRDefault="007923E0">
      <w:r>
        <w:separator/>
      </w:r>
    </w:p>
  </w:footnote>
  <w:footnote w:type="continuationSeparator" w:id="0">
    <w:p w:rsidR="007923E0" w:rsidRDefault="00792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8A" w:rsidRDefault="002A5821" w:rsidP="00DE5CB8">
    <w:pPr>
      <w:pStyle w:val="Header"/>
      <w:framePr w:wrap="around" w:vAnchor="text" w:hAnchor="margin" w:xAlign="center" w:y="1"/>
      <w:rPr>
        <w:rStyle w:val="PageNumber"/>
      </w:rPr>
    </w:pPr>
    <w:r>
      <w:rPr>
        <w:rStyle w:val="PageNumber"/>
      </w:rPr>
      <w:fldChar w:fldCharType="begin"/>
    </w:r>
    <w:r w:rsidR="0056668A">
      <w:rPr>
        <w:rStyle w:val="PageNumber"/>
      </w:rPr>
      <w:instrText xml:space="preserve">PAGE  </w:instrText>
    </w:r>
    <w:r>
      <w:rPr>
        <w:rStyle w:val="PageNumber"/>
      </w:rPr>
      <w:fldChar w:fldCharType="end"/>
    </w:r>
  </w:p>
  <w:p w:rsidR="0056668A" w:rsidRDefault="005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8A" w:rsidRPr="00E05AA9" w:rsidRDefault="002A5821" w:rsidP="00E05AA9">
    <w:pPr>
      <w:pStyle w:val="Header"/>
      <w:framePr w:wrap="around" w:vAnchor="text" w:hAnchor="margin" w:xAlign="center" w:y="1"/>
      <w:rPr>
        <w:rStyle w:val="PageNumber"/>
        <w:sz w:val="24"/>
        <w:szCs w:val="24"/>
      </w:rPr>
    </w:pPr>
    <w:r w:rsidRPr="00E05AA9">
      <w:rPr>
        <w:rStyle w:val="PageNumber"/>
        <w:sz w:val="24"/>
        <w:szCs w:val="24"/>
      </w:rPr>
      <w:fldChar w:fldCharType="begin"/>
    </w:r>
    <w:r w:rsidR="0056668A" w:rsidRPr="00E05AA9">
      <w:rPr>
        <w:rStyle w:val="PageNumber"/>
        <w:sz w:val="24"/>
        <w:szCs w:val="24"/>
      </w:rPr>
      <w:instrText xml:space="preserve">PAGE  </w:instrText>
    </w:r>
    <w:r w:rsidRPr="00E05AA9">
      <w:rPr>
        <w:rStyle w:val="PageNumber"/>
        <w:sz w:val="24"/>
        <w:szCs w:val="24"/>
      </w:rPr>
      <w:fldChar w:fldCharType="separate"/>
    </w:r>
    <w:r w:rsidR="009D797C">
      <w:rPr>
        <w:rStyle w:val="PageNumber"/>
        <w:noProof/>
        <w:sz w:val="24"/>
        <w:szCs w:val="24"/>
      </w:rPr>
      <w:t>2</w:t>
    </w:r>
    <w:r w:rsidRPr="00E05AA9">
      <w:rPr>
        <w:rStyle w:val="PageNumber"/>
        <w:sz w:val="24"/>
        <w:szCs w:val="24"/>
      </w:rPr>
      <w:fldChar w:fldCharType="end"/>
    </w:r>
  </w:p>
  <w:p w:rsidR="0056668A" w:rsidRDefault="005666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B4F"/>
    <w:multiLevelType w:val="hybridMultilevel"/>
    <w:tmpl w:val="A3F21614"/>
    <w:lvl w:ilvl="0" w:tplc="57BA0C06">
      <w:start w:val="1"/>
      <w:numFmt w:val="decimal"/>
      <w:lvlText w:val="%1."/>
      <w:lvlJc w:val="left"/>
      <w:pPr>
        <w:tabs>
          <w:tab w:val="num" w:pos="1755"/>
        </w:tabs>
        <w:ind w:left="1755" w:hanging="103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260244E3"/>
    <w:multiLevelType w:val="hybridMultilevel"/>
    <w:tmpl w:val="4024131E"/>
    <w:lvl w:ilvl="0" w:tplc="81CC0230">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 w15:restartNumberingAfterBreak="0">
    <w:nsid w:val="42102362"/>
    <w:multiLevelType w:val="multilevel"/>
    <w:tmpl w:val="4F7EE986"/>
    <w:lvl w:ilvl="0">
      <w:start w:val="1"/>
      <w:numFmt w:val="decimal"/>
      <w:lvlText w:val="%1."/>
      <w:lvlJc w:val="left"/>
      <w:pPr>
        <w:ind w:left="928"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95"/>
    <w:rsid w:val="000150C9"/>
    <w:rsid w:val="0002246B"/>
    <w:rsid w:val="000325DC"/>
    <w:rsid w:val="00036B52"/>
    <w:rsid w:val="000530E8"/>
    <w:rsid w:val="00053D7A"/>
    <w:rsid w:val="00054ABB"/>
    <w:rsid w:val="00057BBE"/>
    <w:rsid w:val="000757D4"/>
    <w:rsid w:val="00093FA0"/>
    <w:rsid w:val="000A2503"/>
    <w:rsid w:val="000A3243"/>
    <w:rsid w:val="000A5241"/>
    <w:rsid w:val="000B2B5A"/>
    <w:rsid w:val="000C119B"/>
    <w:rsid w:val="000C3BA3"/>
    <w:rsid w:val="000C54EA"/>
    <w:rsid w:val="000C6201"/>
    <w:rsid w:val="000D0145"/>
    <w:rsid w:val="000D266E"/>
    <w:rsid w:val="000D7FE3"/>
    <w:rsid w:val="000E3315"/>
    <w:rsid w:val="000E65F9"/>
    <w:rsid w:val="000E754A"/>
    <w:rsid w:val="000E7B7D"/>
    <w:rsid w:val="000F2182"/>
    <w:rsid w:val="000F3E47"/>
    <w:rsid w:val="000F54AF"/>
    <w:rsid w:val="000F56C3"/>
    <w:rsid w:val="00105B06"/>
    <w:rsid w:val="00106673"/>
    <w:rsid w:val="00106A79"/>
    <w:rsid w:val="00110E0B"/>
    <w:rsid w:val="00121C9D"/>
    <w:rsid w:val="001264F0"/>
    <w:rsid w:val="001359CA"/>
    <w:rsid w:val="00135ECA"/>
    <w:rsid w:val="00144274"/>
    <w:rsid w:val="00153FC4"/>
    <w:rsid w:val="00164CB7"/>
    <w:rsid w:val="00170241"/>
    <w:rsid w:val="001703B4"/>
    <w:rsid w:val="00172354"/>
    <w:rsid w:val="00176728"/>
    <w:rsid w:val="00183AB0"/>
    <w:rsid w:val="00186D8B"/>
    <w:rsid w:val="00193B8D"/>
    <w:rsid w:val="0019598C"/>
    <w:rsid w:val="00196F8B"/>
    <w:rsid w:val="00197FBA"/>
    <w:rsid w:val="001A2EE3"/>
    <w:rsid w:val="001A7743"/>
    <w:rsid w:val="001B5F53"/>
    <w:rsid w:val="001B6BA5"/>
    <w:rsid w:val="001C7EC8"/>
    <w:rsid w:val="001D2600"/>
    <w:rsid w:val="001D3888"/>
    <w:rsid w:val="001D3CBD"/>
    <w:rsid w:val="001E3B02"/>
    <w:rsid w:val="001E4E06"/>
    <w:rsid w:val="001F73B8"/>
    <w:rsid w:val="002157DD"/>
    <w:rsid w:val="00216242"/>
    <w:rsid w:val="002267B4"/>
    <w:rsid w:val="002271EA"/>
    <w:rsid w:val="00232D27"/>
    <w:rsid w:val="00234A62"/>
    <w:rsid w:val="00234DEA"/>
    <w:rsid w:val="00241953"/>
    <w:rsid w:val="002439FF"/>
    <w:rsid w:val="00244EE2"/>
    <w:rsid w:val="00245380"/>
    <w:rsid w:val="00255294"/>
    <w:rsid w:val="00260D80"/>
    <w:rsid w:val="00262B52"/>
    <w:rsid w:val="0026685B"/>
    <w:rsid w:val="002679D4"/>
    <w:rsid w:val="00271C25"/>
    <w:rsid w:val="00284CBE"/>
    <w:rsid w:val="00290A3D"/>
    <w:rsid w:val="00292097"/>
    <w:rsid w:val="002961BD"/>
    <w:rsid w:val="002A5821"/>
    <w:rsid w:val="002C5851"/>
    <w:rsid w:val="002D70CB"/>
    <w:rsid w:val="002E2C54"/>
    <w:rsid w:val="002E3C57"/>
    <w:rsid w:val="002E44B5"/>
    <w:rsid w:val="002E4EA8"/>
    <w:rsid w:val="002F0408"/>
    <w:rsid w:val="00304899"/>
    <w:rsid w:val="00306296"/>
    <w:rsid w:val="00312DAF"/>
    <w:rsid w:val="00324FD5"/>
    <w:rsid w:val="00332E19"/>
    <w:rsid w:val="00335D95"/>
    <w:rsid w:val="00337F96"/>
    <w:rsid w:val="00337FAB"/>
    <w:rsid w:val="00341F9A"/>
    <w:rsid w:val="003539FA"/>
    <w:rsid w:val="00353EF3"/>
    <w:rsid w:val="0036192E"/>
    <w:rsid w:val="00361B48"/>
    <w:rsid w:val="00376C07"/>
    <w:rsid w:val="003778A5"/>
    <w:rsid w:val="00386015"/>
    <w:rsid w:val="0039674A"/>
    <w:rsid w:val="003A2C56"/>
    <w:rsid w:val="003A3B02"/>
    <w:rsid w:val="003A49DC"/>
    <w:rsid w:val="003B3855"/>
    <w:rsid w:val="003B7E9B"/>
    <w:rsid w:val="003C547D"/>
    <w:rsid w:val="003D2D3A"/>
    <w:rsid w:val="003E1B46"/>
    <w:rsid w:val="003E4BF6"/>
    <w:rsid w:val="003F4C74"/>
    <w:rsid w:val="0040611F"/>
    <w:rsid w:val="00411123"/>
    <w:rsid w:val="0041125D"/>
    <w:rsid w:val="00411CC4"/>
    <w:rsid w:val="00411D99"/>
    <w:rsid w:val="00413802"/>
    <w:rsid w:val="004161F2"/>
    <w:rsid w:val="00420AC0"/>
    <w:rsid w:val="00424FFD"/>
    <w:rsid w:val="00430767"/>
    <w:rsid w:val="004335F8"/>
    <w:rsid w:val="00434BFF"/>
    <w:rsid w:val="00434C21"/>
    <w:rsid w:val="00453B6F"/>
    <w:rsid w:val="004553CD"/>
    <w:rsid w:val="00461807"/>
    <w:rsid w:val="00465AE8"/>
    <w:rsid w:val="00472BE0"/>
    <w:rsid w:val="00481308"/>
    <w:rsid w:val="0048494B"/>
    <w:rsid w:val="004923A9"/>
    <w:rsid w:val="004A17D6"/>
    <w:rsid w:val="004A5536"/>
    <w:rsid w:val="004A6119"/>
    <w:rsid w:val="004B13A0"/>
    <w:rsid w:val="004B68DF"/>
    <w:rsid w:val="004C0B41"/>
    <w:rsid w:val="004C62D8"/>
    <w:rsid w:val="004E2A8E"/>
    <w:rsid w:val="004E75FB"/>
    <w:rsid w:val="004E7D42"/>
    <w:rsid w:val="004F01A8"/>
    <w:rsid w:val="004F137C"/>
    <w:rsid w:val="004F6E3C"/>
    <w:rsid w:val="004F7484"/>
    <w:rsid w:val="00512922"/>
    <w:rsid w:val="00516A4C"/>
    <w:rsid w:val="005202B8"/>
    <w:rsid w:val="005246AD"/>
    <w:rsid w:val="0052613E"/>
    <w:rsid w:val="00530381"/>
    <w:rsid w:val="0053044D"/>
    <w:rsid w:val="00540DCB"/>
    <w:rsid w:val="0055141B"/>
    <w:rsid w:val="005607F0"/>
    <w:rsid w:val="00560A66"/>
    <w:rsid w:val="0056668A"/>
    <w:rsid w:val="00567605"/>
    <w:rsid w:val="00571C51"/>
    <w:rsid w:val="00572E15"/>
    <w:rsid w:val="005911D3"/>
    <w:rsid w:val="005933CD"/>
    <w:rsid w:val="00593E0D"/>
    <w:rsid w:val="00595204"/>
    <w:rsid w:val="00595462"/>
    <w:rsid w:val="005A3794"/>
    <w:rsid w:val="005B1F4F"/>
    <w:rsid w:val="005B3B90"/>
    <w:rsid w:val="005B3D91"/>
    <w:rsid w:val="005B4B6F"/>
    <w:rsid w:val="005C6CCE"/>
    <w:rsid w:val="005C77EF"/>
    <w:rsid w:val="005D22C2"/>
    <w:rsid w:val="005D6250"/>
    <w:rsid w:val="005D682B"/>
    <w:rsid w:val="005D7D98"/>
    <w:rsid w:val="005E2343"/>
    <w:rsid w:val="005F50F4"/>
    <w:rsid w:val="00604245"/>
    <w:rsid w:val="0060494A"/>
    <w:rsid w:val="00611E35"/>
    <w:rsid w:val="0061218D"/>
    <w:rsid w:val="00614C44"/>
    <w:rsid w:val="00615284"/>
    <w:rsid w:val="00620F12"/>
    <w:rsid w:val="0062358D"/>
    <w:rsid w:val="00630F04"/>
    <w:rsid w:val="00640AAF"/>
    <w:rsid w:val="00644183"/>
    <w:rsid w:val="0065455E"/>
    <w:rsid w:val="006546F0"/>
    <w:rsid w:val="00675C63"/>
    <w:rsid w:val="00685C94"/>
    <w:rsid w:val="006A6CAC"/>
    <w:rsid w:val="006B4320"/>
    <w:rsid w:val="006B7328"/>
    <w:rsid w:val="006E1B1D"/>
    <w:rsid w:val="006E2714"/>
    <w:rsid w:val="006E2D13"/>
    <w:rsid w:val="006E2DC9"/>
    <w:rsid w:val="006E48D2"/>
    <w:rsid w:val="006E75A6"/>
    <w:rsid w:val="006F3AB3"/>
    <w:rsid w:val="006F5486"/>
    <w:rsid w:val="00705D7E"/>
    <w:rsid w:val="007066F3"/>
    <w:rsid w:val="00712E5F"/>
    <w:rsid w:val="00721136"/>
    <w:rsid w:val="0072352D"/>
    <w:rsid w:val="0073090E"/>
    <w:rsid w:val="00731E6F"/>
    <w:rsid w:val="00745418"/>
    <w:rsid w:val="0075087D"/>
    <w:rsid w:val="007615F6"/>
    <w:rsid w:val="00766EDD"/>
    <w:rsid w:val="00770203"/>
    <w:rsid w:val="00783AAE"/>
    <w:rsid w:val="007863AD"/>
    <w:rsid w:val="007923E0"/>
    <w:rsid w:val="007A1756"/>
    <w:rsid w:val="007A4080"/>
    <w:rsid w:val="007A5A53"/>
    <w:rsid w:val="007A6DE7"/>
    <w:rsid w:val="007C12D5"/>
    <w:rsid w:val="007C646B"/>
    <w:rsid w:val="007D07A3"/>
    <w:rsid w:val="007D340B"/>
    <w:rsid w:val="007E1B25"/>
    <w:rsid w:val="007E5051"/>
    <w:rsid w:val="007E7A79"/>
    <w:rsid w:val="007F5720"/>
    <w:rsid w:val="008014DA"/>
    <w:rsid w:val="00803C56"/>
    <w:rsid w:val="008133C2"/>
    <w:rsid w:val="0081769D"/>
    <w:rsid w:val="00820FE9"/>
    <w:rsid w:val="00821BD8"/>
    <w:rsid w:val="0083227B"/>
    <w:rsid w:val="00836978"/>
    <w:rsid w:val="008466B5"/>
    <w:rsid w:val="00867E17"/>
    <w:rsid w:val="008702A1"/>
    <w:rsid w:val="00872804"/>
    <w:rsid w:val="00872895"/>
    <w:rsid w:val="00874318"/>
    <w:rsid w:val="00874F0F"/>
    <w:rsid w:val="00877C8E"/>
    <w:rsid w:val="00884B6B"/>
    <w:rsid w:val="00886CEE"/>
    <w:rsid w:val="00896DDF"/>
    <w:rsid w:val="008A03EC"/>
    <w:rsid w:val="008B7CE7"/>
    <w:rsid w:val="008C57B9"/>
    <w:rsid w:val="008E719B"/>
    <w:rsid w:val="008F01ED"/>
    <w:rsid w:val="008F13AF"/>
    <w:rsid w:val="008F36C0"/>
    <w:rsid w:val="008F5DDB"/>
    <w:rsid w:val="008F6115"/>
    <w:rsid w:val="0091206E"/>
    <w:rsid w:val="00920756"/>
    <w:rsid w:val="009254CB"/>
    <w:rsid w:val="00936053"/>
    <w:rsid w:val="009378C0"/>
    <w:rsid w:val="009418C4"/>
    <w:rsid w:val="0094201A"/>
    <w:rsid w:val="0094518B"/>
    <w:rsid w:val="00950706"/>
    <w:rsid w:val="00952F26"/>
    <w:rsid w:val="009546DE"/>
    <w:rsid w:val="00975B08"/>
    <w:rsid w:val="0098223E"/>
    <w:rsid w:val="0099355B"/>
    <w:rsid w:val="00993DF6"/>
    <w:rsid w:val="009B07C5"/>
    <w:rsid w:val="009B40BC"/>
    <w:rsid w:val="009C3D4A"/>
    <w:rsid w:val="009D0064"/>
    <w:rsid w:val="009D797C"/>
    <w:rsid w:val="009E126E"/>
    <w:rsid w:val="009E2A21"/>
    <w:rsid w:val="009E6660"/>
    <w:rsid w:val="009F0D3B"/>
    <w:rsid w:val="00A0007F"/>
    <w:rsid w:val="00A02DD1"/>
    <w:rsid w:val="00A02F47"/>
    <w:rsid w:val="00A24636"/>
    <w:rsid w:val="00A51CDE"/>
    <w:rsid w:val="00A52007"/>
    <w:rsid w:val="00A528ED"/>
    <w:rsid w:val="00A545A0"/>
    <w:rsid w:val="00A70DB7"/>
    <w:rsid w:val="00A76DFF"/>
    <w:rsid w:val="00A8100A"/>
    <w:rsid w:val="00A81055"/>
    <w:rsid w:val="00A86F21"/>
    <w:rsid w:val="00A90BA5"/>
    <w:rsid w:val="00A92043"/>
    <w:rsid w:val="00A93EC2"/>
    <w:rsid w:val="00A968F8"/>
    <w:rsid w:val="00AA4B42"/>
    <w:rsid w:val="00AA4F49"/>
    <w:rsid w:val="00AA6202"/>
    <w:rsid w:val="00AB0996"/>
    <w:rsid w:val="00AC5D94"/>
    <w:rsid w:val="00AD47C4"/>
    <w:rsid w:val="00AE715B"/>
    <w:rsid w:val="00AF1351"/>
    <w:rsid w:val="00AF48E0"/>
    <w:rsid w:val="00B03590"/>
    <w:rsid w:val="00B035D6"/>
    <w:rsid w:val="00B12E0B"/>
    <w:rsid w:val="00B13182"/>
    <w:rsid w:val="00B433DF"/>
    <w:rsid w:val="00B44A1F"/>
    <w:rsid w:val="00B44C59"/>
    <w:rsid w:val="00B5055B"/>
    <w:rsid w:val="00B57B1A"/>
    <w:rsid w:val="00B6710A"/>
    <w:rsid w:val="00B71858"/>
    <w:rsid w:val="00B73BA8"/>
    <w:rsid w:val="00B779A1"/>
    <w:rsid w:val="00B87C15"/>
    <w:rsid w:val="00BA347B"/>
    <w:rsid w:val="00BA48C0"/>
    <w:rsid w:val="00BB7AAC"/>
    <w:rsid w:val="00BC547A"/>
    <w:rsid w:val="00BC7394"/>
    <w:rsid w:val="00BC7CC6"/>
    <w:rsid w:val="00BE70A8"/>
    <w:rsid w:val="00BE7B07"/>
    <w:rsid w:val="00BF747F"/>
    <w:rsid w:val="00C04934"/>
    <w:rsid w:val="00C14DE0"/>
    <w:rsid w:val="00C251ED"/>
    <w:rsid w:val="00C301AA"/>
    <w:rsid w:val="00C40AD0"/>
    <w:rsid w:val="00C40D41"/>
    <w:rsid w:val="00C46731"/>
    <w:rsid w:val="00C46DE9"/>
    <w:rsid w:val="00C551F8"/>
    <w:rsid w:val="00C55761"/>
    <w:rsid w:val="00C57C08"/>
    <w:rsid w:val="00C66B1E"/>
    <w:rsid w:val="00C74BA4"/>
    <w:rsid w:val="00C760B3"/>
    <w:rsid w:val="00C812AA"/>
    <w:rsid w:val="00CA4516"/>
    <w:rsid w:val="00CA6EF0"/>
    <w:rsid w:val="00CB0652"/>
    <w:rsid w:val="00CC5895"/>
    <w:rsid w:val="00CC6F79"/>
    <w:rsid w:val="00CE196D"/>
    <w:rsid w:val="00CE1A8C"/>
    <w:rsid w:val="00CE2B77"/>
    <w:rsid w:val="00CE2CCA"/>
    <w:rsid w:val="00CE427E"/>
    <w:rsid w:val="00CF02CE"/>
    <w:rsid w:val="00CF793E"/>
    <w:rsid w:val="00D15195"/>
    <w:rsid w:val="00D17480"/>
    <w:rsid w:val="00D17C65"/>
    <w:rsid w:val="00D254DB"/>
    <w:rsid w:val="00D27A0D"/>
    <w:rsid w:val="00D313F2"/>
    <w:rsid w:val="00D33EE6"/>
    <w:rsid w:val="00D3721B"/>
    <w:rsid w:val="00D40730"/>
    <w:rsid w:val="00D566C3"/>
    <w:rsid w:val="00D71A06"/>
    <w:rsid w:val="00D8781F"/>
    <w:rsid w:val="00D935F1"/>
    <w:rsid w:val="00D96F0F"/>
    <w:rsid w:val="00DA1C3A"/>
    <w:rsid w:val="00DA3FA7"/>
    <w:rsid w:val="00DA4C01"/>
    <w:rsid w:val="00DB0FCE"/>
    <w:rsid w:val="00DB6566"/>
    <w:rsid w:val="00DC0D78"/>
    <w:rsid w:val="00DC67B8"/>
    <w:rsid w:val="00DC7011"/>
    <w:rsid w:val="00DD0520"/>
    <w:rsid w:val="00DD48F3"/>
    <w:rsid w:val="00DD7D38"/>
    <w:rsid w:val="00DE5CB8"/>
    <w:rsid w:val="00DF5D3A"/>
    <w:rsid w:val="00E02097"/>
    <w:rsid w:val="00E05AA9"/>
    <w:rsid w:val="00E231A3"/>
    <w:rsid w:val="00E25392"/>
    <w:rsid w:val="00E25DE3"/>
    <w:rsid w:val="00E40DCB"/>
    <w:rsid w:val="00E46031"/>
    <w:rsid w:val="00E500D3"/>
    <w:rsid w:val="00E510CA"/>
    <w:rsid w:val="00E75E8A"/>
    <w:rsid w:val="00E84347"/>
    <w:rsid w:val="00E875BD"/>
    <w:rsid w:val="00E92F49"/>
    <w:rsid w:val="00E94B27"/>
    <w:rsid w:val="00EA3D46"/>
    <w:rsid w:val="00EB1AF4"/>
    <w:rsid w:val="00EC14E7"/>
    <w:rsid w:val="00EC2E3B"/>
    <w:rsid w:val="00ED5FBC"/>
    <w:rsid w:val="00EE4FE6"/>
    <w:rsid w:val="00F0343B"/>
    <w:rsid w:val="00F037F3"/>
    <w:rsid w:val="00F03D9D"/>
    <w:rsid w:val="00F04B15"/>
    <w:rsid w:val="00F25C67"/>
    <w:rsid w:val="00F30389"/>
    <w:rsid w:val="00F34104"/>
    <w:rsid w:val="00F35B09"/>
    <w:rsid w:val="00F406A1"/>
    <w:rsid w:val="00F44C12"/>
    <w:rsid w:val="00F54540"/>
    <w:rsid w:val="00F6227B"/>
    <w:rsid w:val="00F62F6C"/>
    <w:rsid w:val="00F84091"/>
    <w:rsid w:val="00F8421C"/>
    <w:rsid w:val="00F95BE9"/>
    <w:rsid w:val="00FA30D9"/>
    <w:rsid w:val="00FA6E34"/>
    <w:rsid w:val="00FB0666"/>
    <w:rsid w:val="00FB4790"/>
    <w:rsid w:val="00FB5C35"/>
    <w:rsid w:val="00FB6755"/>
    <w:rsid w:val="00FC01E5"/>
    <w:rsid w:val="00FC0E6B"/>
    <w:rsid w:val="00FC184F"/>
    <w:rsid w:val="00FC7052"/>
    <w:rsid w:val="00FD2524"/>
    <w:rsid w:val="00FD7F18"/>
    <w:rsid w:val="00FD7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2D85"/>
  <w15:docId w15:val="{4CF92BC5-65B1-4178-9ECD-4B34E1F5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DB"/>
    <w:rPr>
      <w:lang w:val="en-US"/>
    </w:rPr>
  </w:style>
  <w:style w:type="paragraph" w:styleId="Heading1">
    <w:name w:val="heading 1"/>
    <w:basedOn w:val="Normal"/>
    <w:next w:val="Normal"/>
    <w:link w:val="Heading1Char"/>
    <w:qFormat/>
    <w:rsid w:val="003E1B4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D254DB"/>
    <w:pPr>
      <w:keepNext/>
      <w:tabs>
        <w:tab w:val="left" w:pos="2127"/>
        <w:tab w:val="left" w:pos="6096"/>
      </w:tabs>
      <w:jc w:val="right"/>
      <w:outlineLvl w:val="1"/>
    </w:pPr>
    <w:rPr>
      <w:sz w:val="28"/>
      <w:lang w:val="lv-LV" w:eastAsia="en-US"/>
    </w:rPr>
  </w:style>
  <w:style w:type="paragraph" w:styleId="Heading3">
    <w:name w:val="heading 3"/>
    <w:basedOn w:val="Normal"/>
    <w:next w:val="Normal"/>
    <w:qFormat/>
    <w:rsid w:val="00D254DB"/>
    <w:pPr>
      <w:keepNext/>
      <w:jc w:val="center"/>
      <w:outlineLvl w:val="2"/>
    </w:pPr>
    <w:rPr>
      <w:sz w:val="28"/>
      <w:lang w:val="lv-LV" w:eastAsia="en-US"/>
    </w:rPr>
  </w:style>
  <w:style w:type="paragraph" w:styleId="Heading5">
    <w:name w:val="heading 5"/>
    <w:basedOn w:val="Normal"/>
    <w:next w:val="Normal"/>
    <w:qFormat/>
    <w:rsid w:val="00D254DB"/>
    <w:pPr>
      <w:keepNext/>
      <w:jc w:val="both"/>
      <w:outlineLvl w:val="4"/>
    </w:pPr>
    <w:rPr>
      <w:sz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4DB"/>
    <w:pPr>
      <w:tabs>
        <w:tab w:val="center" w:pos="4153"/>
        <w:tab w:val="right" w:pos="8306"/>
      </w:tabs>
    </w:pPr>
    <w:rPr>
      <w:sz w:val="28"/>
      <w:lang w:val="en-GB" w:eastAsia="en-US"/>
    </w:rPr>
  </w:style>
  <w:style w:type="character" w:styleId="PageNumber">
    <w:name w:val="page number"/>
    <w:basedOn w:val="DefaultParagraphFont"/>
    <w:rsid w:val="00D254DB"/>
  </w:style>
  <w:style w:type="paragraph" w:styleId="BodyTextIndent">
    <w:name w:val="Body Text Indent"/>
    <w:basedOn w:val="Normal"/>
    <w:rsid w:val="00D254DB"/>
    <w:pPr>
      <w:ind w:firstLine="720"/>
      <w:jc w:val="both"/>
    </w:pPr>
    <w:rPr>
      <w:sz w:val="28"/>
      <w:lang w:val="lv-LV" w:eastAsia="en-US"/>
    </w:rPr>
  </w:style>
  <w:style w:type="character" w:styleId="Hyperlink">
    <w:name w:val="Hyperlink"/>
    <w:basedOn w:val="DefaultParagraphFont"/>
    <w:rsid w:val="00F84091"/>
    <w:rPr>
      <w:color w:val="0000FF"/>
      <w:u w:val="single"/>
    </w:rPr>
  </w:style>
  <w:style w:type="paragraph" w:styleId="BalloonText">
    <w:name w:val="Balloon Text"/>
    <w:basedOn w:val="Normal"/>
    <w:semiHidden/>
    <w:rsid w:val="00F84091"/>
    <w:rPr>
      <w:rFonts w:ascii="Tahoma" w:hAnsi="Tahoma" w:cs="Tahoma"/>
      <w:sz w:val="16"/>
      <w:szCs w:val="16"/>
    </w:rPr>
  </w:style>
  <w:style w:type="paragraph" w:styleId="Footer">
    <w:name w:val="footer"/>
    <w:basedOn w:val="Normal"/>
    <w:rsid w:val="00E05AA9"/>
    <w:pPr>
      <w:tabs>
        <w:tab w:val="center" w:pos="4153"/>
        <w:tab w:val="right" w:pos="8306"/>
      </w:tabs>
    </w:pPr>
  </w:style>
  <w:style w:type="paragraph" w:customStyle="1" w:styleId="RakstzCharCharRakstzCharCharRakstz">
    <w:name w:val="Rakstz. Char Char Rakstz. Char Char Rakstz."/>
    <w:basedOn w:val="Normal"/>
    <w:rsid w:val="00993DF6"/>
    <w:pPr>
      <w:spacing w:after="160" w:line="240" w:lineRule="exact"/>
    </w:pPr>
    <w:rPr>
      <w:rFonts w:ascii="Tahoma" w:hAnsi="Tahoma"/>
      <w:lang w:eastAsia="en-US"/>
    </w:rPr>
  </w:style>
  <w:style w:type="paragraph" w:styleId="NormalWeb">
    <w:name w:val="Normal (Web)"/>
    <w:basedOn w:val="Normal"/>
    <w:rsid w:val="00D17480"/>
    <w:rPr>
      <w:sz w:val="24"/>
      <w:szCs w:val="24"/>
    </w:rPr>
  </w:style>
  <w:style w:type="paragraph" w:customStyle="1" w:styleId="naisf">
    <w:name w:val="naisf"/>
    <w:basedOn w:val="Normal"/>
    <w:rsid w:val="00186D8B"/>
    <w:pPr>
      <w:spacing w:before="75" w:after="75"/>
      <w:ind w:firstLine="375"/>
      <w:jc w:val="both"/>
    </w:pPr>
    <w:rPr>
      <w:sz w:val="24"/>
      <w:szCs w:val="24"/>
      <w:lang w:val="lv-LV"/>
    </w:rPr>
  </w:style>
  <w:style w:type="table" w:styleId="TableGrid">
    <w:name w:val="Table Grid"/>
    <w:basedOn w:val="TableNormal"/>
    <w:rsid w:val="0018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04245"/>
    <w:rPr>
      <w:sz w:val="16"/>
      <w:szCs w:val="16"/>
    </w:rPr>
  </w:style>
  <w:style w:type="paragraph" w:styleId="CommentText">
    <w:name w:val="annotation text"/>
    <w:basedOn w:val="Normal"/>
    <w:semiHidden/>
    <w:rsid w:val="00604245"/>
  </w:style>
  <w:style w:type="paragraph" w:styleId="CommentSubject">
    <w:name w:val="annotation subject"/>
    <w:basedOn w:val="CommentText"/>
    <w:next w:val="CommentText"/>
    <w:semiHidden/>
    <w:rsid w:val="00604245"/>
    <w:rPr>
      <w:b/>
      <w:bCs/>
    </w:rPr>
  </w:style>
  <w:style w:type="character" w:styleId="Strong">
    <w:name w:val="Strong"/>
    <w:basedOn w:val="DefaultParagraphFont"/>
    <w:qFormat/>
    <w:rsid w:val="002961BD"/>
    <w:rPr>
      <w:b/>
      <w:bCs/>
    </w:rPr>
  </w:style>
  <w:style w:type="paragraph" w:customStyle="1" w:styleId="RakstzRakstzRakstzRakstz">
    <w:name w:val="Rakstz. Rakstz. Rakstz. Rakstz."/>
    <w:basedOn w:val="Normal"/>
    <w:rsid w:val="00411CC4"/>
    <w:pPr>
      <w:spacing w:before="40"/>
    </w:pPr>
    <w:rPr>
      <w:sz w:val="28"/>
      <w:lang w:val="lv-LV" w:eastAsia="en-US"/>
    </w:rPr>
  </w:style>
  <w:style w:type="character" w:customStyle="1" w:styleId="Heading1Char">
    <w:name w:val="Heading 1 Char"/>
    <w:basedOn w:val="DefaultParagraphFont"/>
    <w:link w:val="Heading1"/>
    <w:rsid w:val="003E1B46"/>
    <w:rPr>
      <w:rFonts w:ascii="Cambria" w:eastAsia="Times New Roman" w:hAnsi="Cambria" w:cs="Times New Roman"/>
      <w:b/>
      <w:bCs/>
      <w:kern w:val="32"/>
      <w:sz w:val="32"/>
      <w:szCs w:val="32"/>
      <w:lang w:val="en-US"/>
    </w:rPr>
  </w:style>
  <w:style w:type="character" w:styleId="FollowedHyperlink">
    <w:name w:val="FollowedHyperlink"/>
    <w:basedOn w:val="DefaultParagraphFont"/>
    <w:rsid w:val="003E1B46"/>
    <w:rPr>
      <w:color w:val="800080"/>
      <w:u w:val="single"/>
    </w:rPr>
  </w:style>
  <w:style w:type="paragraph" w:styleId="ListParagraph">
    <w:name w:val="List Paragraph"/>
    <w:basedOn w:val="Normal"/>
    <w:uiPriority w:val="34"/>
    <w:qFormat/>
    <w:rsid w:val="001A7743"/>
    <w:pPr>
      <w:ind w:left="720"/>
      <w:contextualSpacing/>
    </w:pPr>
  </w:style>
  <w:style w:type="paragraph" w:styleId="BodyTextIndent3">
    <w:name w:val="Body Text Indent 3"/>
    <w:basedOn w:val="Normal"/>
    <w:link w:val="BodyTextIndent3Char"/>
    <w:semiHidden/>
    <w:unhideWhenUsed/>
    <w:rsid w:val="004B68DF"/>
    <w:pPr>
      <w:spacing w:after="120"/>
      <w:ind w:left="283"/>
    </w:pPr>
    <w:rPr>
      <w:sz w:val="16"/>
      <w:szCs w:val="16"/>
    </w:rPr>
  </w:style>
  <w:style w:type="character" w:customStyle="1" w:styleId="BodyTextIndent3Char">
    <w:name w:val="Body Text Indent 3 Char"/>
    <w:basedOn w:val="DefaultParagraphFont"/>
    <w:link w:val="BodyTextIndent3"/>
    <w:semiHidden/>
    <w:rsid w:val="004B68DF"/>
    <w:rPr>
      <w:sz w:val="16"/>
      <w:szCs w:val="16"/>
      <w:lang w:val="en-US"/>
    </w:rPr>
  </w:style>
  <w:style w:type="paragraph" w:styleId="BodyText">
    <w:name w:val="Body Text"/>
    <w:basedOn w:val="Normal"/>
    <w:link w:val="BodyTextChar"/>
    <w:unhideWhenUsed/>
    <w:rsid w:val="004B68DF"/>
    <w:pPr>
      <w:spacing w:after="120"/>
    </w:pPr>
    <w:rPr>
      <w:sz w:val="24"/>
      <w:szCs w:val="24"/>
      <w:lang w:val="lv-LV"/>
    </w:rPr>
  </w:style>
  <w:style w:type="character" w:customStyle="1" w:styleId="BodyTextChar">
    <w:name w:val="Body Text Char"/>
    <w:basedOn w:val="DefaultParagraphFont"/>
    <w:link w:val="BodyText"/>
    <w:rsid w:val="004B68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7377">
      <w:bodyDiv w:val="1"/>
      <w:marLeft w:val="0"/>
      <w:marRight w:val="0"/>
      <w:marTop w:val="0"/>
      <w:marBottom w:val="0"/>
      <w:divBdr>
        <w:top w:val="none" w:sz="0" w:space="0" w:color="auto"/>
        <w:left w:val="none" w:sz="0" w:space="0" w:color="auto"/>
        <w:bottom w:val="none" w:sz="0" w:space="0" w:color="auto"/>
        <w:right w:val="none" w:sz="0" w:space="0" w:color="auto"/>
      </w:divBdr>
      <w:divsChild>
        <w:div w:id="1246957706">
          <w:marLeft w:val="0"/>
          <w:marRight w:val="0"/>
          <w:marTop w:val="0"/>
          <w:marBottom w:val="0"/>
          <w:divBdr>
            <w:top w:val="none" w:sz="0" w:space="0" w:color="auto"/>
            <w:left w:val="none" w:sz="0" w:space="0" w:color="auto"/>
            <w:bottom w:val="none" w:sz="0" w:space="0" w:color="auto"/>
            <w:right w:val="none" w:sz="0" w:space="0" w:color="auto"/>
          </w:divBdr>
        </w:div>
        <w:div w:id="93333344">
          <w:marLeft w:val="0"/>
          <w:marRight w:val="0"/>
          <w:marTop w:val="0"/>
          <w:marBottom w:val="0"/>
          <w:divBdr>
            <w:top w:val="none" w:sz="0" w:space="0" w:color="auto"/>
            <w:left w:val="none" w:sz="0" w:space="0" w:color="auto"/>
            <w:bottom w:val="none" w:sz="0" w:space="0" w:color="auto"/>
            <w:right w:val="none" w:sz="0" w:space="0" w:color="auto"/>
          </w:divBdr>
        </w:div>
      </w:divsChild>
    </w:div>
    <w:div w:id="1386176565">
      <w:bodyDiv w:val="1"/>
      <w:marLeft w:val="0"/>
      <w:marRight w:val="0"/>
      <w:marTop w:val="0"/>
      <w:marBottom w:val="0"/>
      <w:divBdr>
        <w:top w:val="none" w:sz="0" w:space="0" w:color="auto"/>
        <w:left w:val="none" w:sz="0" w:space="0" w:color="auto"/>
        <w:bottom w:val="none" w:sz="0" w:space="0" w:color="auto"/>
        <w:right w:val="none" w:sz="0" w:space="0" w:color="auto"/>
      </w:divBdr>
      <w:divsChild>
        <w:div w:id="1393886740">
          <w:marLeft w:val="0"/>
          <w:marRight w:val="0"/>
          <w:marTop w:val="0"/>
          <w:marBottom w:val="0"/>
          <w:divBdr>
            <w:top w:val="none" w:sz="0" w:space="0" w:color="auto"/>
            <w:left w:val="none" w:sz="0" w:space="0" w:color="auto"/>
            <w:bottom w:val="none" w:sz="0" w:space="0" w:color="auto"/>
            <w:right w:val="none" w:sz="0" w:space="0" w:color="auto"/>
          </w:divBdr>
        </w:div>
        <w:div w:id="982007768">
          <w:marLeft w:val="0"/>
          <w:marRight w:val="0"/>
          <w:marTop w:val="0"/>
          <w:marBottom w:val="0"/>
          <w:divBdr>
            <w:top w:val="none" w:sz="0" w:space="0" w:color="auto"/>
            <w:left w:val="none" w:sz="0" w:space="0" w:color="auto"/>
            <w:bottom w:val="none" w:sz="0" w:space="0" w:color="auto"/>
            <w:right w:val="none" w:sz="0" w:space="0" w:color="auto"/>
          </w:divBdr>
        </w:div>
        <w:div w:id="1425682553">
          <w:marLeft w:val="0"/>
          <w:marRight w:val="0"/>
          <w:marTop w:val="0"/>
          <w:marBottom w:val="0"/>
          <w:divBdr>
            <w:top w:val="none" w:sz="0" w:space="0" w:color="auto"/>
            <w:left w:val="none" w:sz="0" w:space="0" w:color="auto"/>
            <w:bottom w:val="none" w:sz="0" w:space="0" w:color="auto"/>
            <w:right w:val="none" w:sz="0" w:space="0" w:color="auto"/>
          </w:divBdr>
        </w:div>
        <w:div w:id="393433266">
          <w:marLeft w:val="0"/>
          <w:marRight w:val="0"/>
          <w:marTop w:val="0"/>
          <w:marBottom w:val="0"/>
          <w:divBdr>
            <w:top w:val="none" w:sz="0" w:space="0" w:color="auto"/>
            <w:left w:val="none" w:sz="0" w:space="0" w:color="auto"/>
            <w:bottom w:val="none" w:sz="0" w:space="0" w:color="auto"/>
            <w:right w:val="none" w:sz="0" w:space="0" w:color="auto"/>
          </w:divBdr>
        </w:div>
      </w:divsChild>
    </w:div>
    <w:div w:id="2098549258">
      <w:bodyDiv w:val="1"/>
      <w:marLeft w:val="0"/>
      <w:marRight w:val="0"/>
      <w:marTop w:val="0"/>
      <w:marBottom w:val="0"/>
      <w:divBdr>
        <w:top w:val="none" w:sz="0" w:space="0" w:color="auto"/>
        <w:left w:val="none" w:sz="0" w:space="0" w:color="auto"/>
        <w:bottom w:val="none" w:sz="0" w:space="0" w:color="auto"/>
        <w:right w:val="none" w:sz="0" w:space="0" w:color="auto"/>
      </w:divBdr>
      <w:divsChild>
        <w:div w:id="310643886">
          <w:marLeft w:val="0"/>
          <w:marRight w:val="0"/>
          <w:marTop w:val="0"/>
          <w:marBottom w:val="0"/>
          <w:divBdr>
            <w:top w:val="none" w:sz="0" w:space="0" w:color="auto"/>
            <w:left w:val="none" w:sz="0" w:space="0" w:color="auto"/>
            <w:bottom w:val="none" w:sz="0" w:space="0" w:color="auto"/>
            <w:right w:val="none" w:sz="0" w:space="0" w:color="auto"/>
          </w:divBdr>
        </w:div>
        <w:div w:id="142309952">
          <w:marLeft w:val="0"/>
          <w:marRight w:val="0"/>
          <w:marTop w:val="0"/>
          <w:marBottom w:val="0"/>
          <w:divBdr>
            <w:top w:val="none" w:sz="0" w:space="0" w:color="auto"/>
            <w:left w:val="none" w:sz="0" w:space="0" w:color="auto"/>
            <w:bottom w:val="none" w:sz="0" w:space="0" w:color="auto"/>
            <w:right w:val="none" w:sz="0" w:space="0" w:color="auto"/>
          </w:divBdr>
        </w:div>
        <w:div w:id="93787874">
          <w:marLeft w:val="0"/>
          <w:marRight w:val="0"/>
          <w:marTop w:val="0"/>
          <w:marBottom w:val="0"/>
          <w:divBdr>
            <w:top w:val="none" w:sz="0" w:space="0" w:color="auto"/>
            <w:left w:val="none" w:sz="0" w:space="0" w:color="auto"/>
            <w:bottom w:val="none" w:sz="0" w:space="0" w:color="auto"/>
            <w:right w:val="none" w:sz="0" w:space="0" w:color="auto"/>
          </w:divBdr>
        </w:div>
        <w:div w:id="2054229229">
          <w:marLeft w:val="0"/>
          <w:marRight w:val="0"/>
          <w:marTop w:val="0"/>
          <w:marBottom w:val="0"/>
          <w:divBdr>
            <w:top w:val="none" w:sz="0" w:space="0" w:color="auto"/>
            <w:left w:val="none" w:sz="0" w:space="0" w:color="auto"/>
            <w:bottom w:val="none" w:sz="0" w:space="0" w:color="auto"/>
            <w:right w:val="none" w:sz="0" w:space="0" w:color="auto"/>
          </w:divBdr>
        </w:div>
        <w:div w:id="1907183941">
          <w:marLeft w:val="0"/>
          <w:marRight w:val="0"/>
          <w:marTop w:val="0"/>
          <w:marBottom w:val="0"/>
          <w:divBdr>
            <w:top w:val="none" w:sz="0" w:space="0" w:color="auto"/>
            <w:left w:val="none" w:sz="0" w:space="0" w:color="auto"/>
            <w:bottom w:val="none" w:sz="0" w:space="0" w:color="auto"/>
            <w:right w:val="none" w:sz="0" w:space="0" w:color="auto"/>
          </w:divBdr>
        </w:div>
        <w:div w:id="1393306643">
          <w:marLeft w:val="0"/>
          <w:marRight w:val="0"/>
          <w:marTop w:val="0"/>
          <w:marBottom w:val="0"/>
          <w:divBdr>
            <w:top w:val="none" w:sz="0" w:space="0" w:color="auto"/>
            <w:left w:val="none" w:sz="0" w:space="0" w:color="auto"/>
            <w:bottom w:val="none" w:sz="0" w:space="0" w:color="auto"/>
            <w:right w:val="none" w:sz="0" w:space="0" w:color="auto"/>
          </w:divBdr>
        </w:div>
        <w:div w:id="1623196294">
          <w:marLeft w:val="0"/>
          <w:marRight w:val="0"/>
          <w:marTop w:val="0"/>
          <w:marBottom w:val="0"/>
          <w:divBdr>
            <w:top w:val="none" w:sz="0" w:space="0" w:color="auto"/>
            <w:left w:val="none" w:sz="0" w:space="0" w:color="auto"/>
            <w:bottom w:val="none" w:sz="0" w:space="0" w:color="auto"/>
            <w:right w:val="none" w:sz="0" w:space="0" w:color="auto"/>
          </w:divBdr>
        </w:div>
        <w:div w:id="1760786818">
          <w:marLeft w:val="0"/>
          <w:marRight w:val="0"/>
          <w:marTop w:val="0"/>
          <w:marBottom w:val="0"/>
          <w:divBdr>
            <w:top w:val="none" w:sz="0" w:space="0" w:color="auto"/>
            <w:left w:val="none" w:sz="0" w:space="0" w:color="auto"/>
            <w:bottom w:val="none" w:sz="0" w:space="0" w:color="auto"/>
            <w:right w:val="none" w:sz="0" w:space="0" w:color="auto"/>
          </w:divBdr>
        </w:div>
        <w:div w:id="397896844">
          <w:marLeft w:val="0"/>
          <w:marRight w:val="0"/>
          <w:marTop w:val="0"/>
          <w:marBottom w:val="0"/>
          <w:divBdr>
            <w:top w:val="none" w:sz="0" w:space="0" w:color="auto"/>
            <w:left w:val="none" w:sz="0" w:space="0" w:color="auto"/>
            <w:bottom w:val="none" w:sz="0" w:space="0" w:color="auto"/>
            <w:right w:val="none" w:sz="0" w:space="0" w:color="auto"/>
          </w:divBdr>
        </w:div>
        <w:div w:id="1675453501">
          <w:marLeft w:val="0"/>
          <w:marRight w:val="0"/>
          <w:marTop w:val="0"/>
          <w:marBottom w:val="0"/>
          <w:divBdr>
            <w:top w:val="none" w:sz="0" w:space="0" w:color="auto"/>
            <w:left w:val="none" w:sz="0" w:space="0" w:color="auto"/>
            <w:bottom w:val="none" w:sz="0" w:space="0" w:color="auto"/>
            <w:right w:val="none" w:sz="0" w:space="0" w:color="auto"/>
          </w:divBdr>
        </w:div>
        <w:div w:id="469591040">
          <w:marLeft w:val="0"/>
          <w:marRight w:val="0"/>
          <w:marTop w:val="0"/>
          <w:marBottom w:val="0"/>
          <w:divBdr>
            <w:top w:val="none" w:sz="0" w:space="0" w:color="auto"/>
            <w:left w:val="none" w:sz="0" w:space="0" w:color="auto"/>
            <w:bottom w:val="none" w:sz="0" w:space="0" w:color="auto"/>
            <w:right w:val="none" w:sz="0" w:space="0" w:color="auto"/>
          </w:divBdr>
        </w:div>
        <w:div w:id="16918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3</Pages>
  <Words>4673</Words>
  <Characters>2665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7324</CharactersWithSpaces>
  <SharedDoc>false</SharedDoc>
  <HLinks>
    <vt:vector size="18" baseType="variant">
      <vt:variant>
        <vt:i4>5308491</vt:i4>
      </vt:variant>
      <vt:variant>
        <vt:i4>6</vt:i4>
      </vt:variant>
      <vt:variant>
        <vt:i4>0</vt:i4>
      </vt:variant>
      <vt:variant>
        <vt:i4>5</vt:i4>
      </vt:variant>
      <vt:variant>
        <vt:lpwstr>http://www.bank.lv/lat/main/all/statistika/proclik-stat/</vt:lpwstr>
      </vt:variant>
      <vt:variant>
        <vt:lpwstr/>
      </vt:variant>
      <vt:variant>
        <vt:i4>4128880</vt:i4>
      </vt:variant>
      <vt:variant>
        <vt:i4>3</vt:i4>
      </vt:variant>
      <vt:variant>
        <vt:i4>0</vt:i4>
      </vt:variant>
      <vt:variant>
        <vt:i4>5</vt:i4>
      </vt:variant>
      <vt:variant>
        <vt:lpwstr>http://www.csb.gov.lv/statistikas-temas/banku-raditaji-galvenie-raditaji-30180.htm</vt:lpwstr>
      </vt:variant>
      <vt:variant>
        <vt:lpwstr/>
      </vt:variant>
      <vt:variant>
        <vt:i4>7143472</vt:i4>
      </vt:variant>
      <vt:variant>
        <vt:i4>0</vt:i4>
      </vt:variant>
      <vt:variant>
        <vt:i4>0</vt:i4>
      </vt:variant>
      <vt:variant>
        <vt:i4>5</vt:i4>
      </vt:variant>
      <vt:variant>
        <vt:lpwstr>http://www.csb.gov.lv/statistikas-temas/paterina-cenas-galvenie-raditaji-30385.html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Ule</dc:creator>
  <cp:lastModifiedBy>Diāna Kudravecs</cp:lastModifiedBy>
  <cp:revision>9</cp:revision>
  <cp:lastPrinted>2018-01-30T13:11:00Z</cp:lastPrinted>
  <dcterms:created xsi:type="dcterms:W3CDTF">2018-01-30T08:56:00Z</dcterms:created>
  <dcterms:modified xsi:type="dcterms:W3CDTF">2018-02-02T07:00:00Z</dcterms:modified>
</cp:coreProperties>
</file>