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B0D6B78" w:rsidR="00E86B03" w:rsidRPr="009C6C50" w:rsidRDefault="004B3C64" w:rsidP="009C6C50">
      <w:pPr>
        <w:jc w:val="center"/>
        <w:rPr>
          <w:rFonts w:eastAsia="Times New Roman" w:cs="Times New Roman"/>
          <w:b/>
          <w:szCs w:val="24"/>
        </w:rPr>
      </w:pPr>
      <w:r w:rsidRPr="00326F16">
        <w:rPr>
          <w:rFonts w:eastAsia="Times New Roman" w:cs="Times New Roman"/>
          <w:b/>
          <w:szCs w:val="24"/>
        </w:rPr>
        <w:t>“</w:t>
      </w:r>
      <w:r w:rsidR="009C6C50" w:rsidRPr="00014325">
        <w:rPr>
          <w:rFonts w:eastAsia="Times New Roman" w:cs="Times New Roman"/>
          <w:b/>
          <w:szCs w:val="24"/>
        </w:rPr>
        <w:t>Arhīva un krimināllietu vāku piegāde”</w:t>
      </w:r>
    </w:p>
    <w:p w14:paraId="74304135" w14:textId="6EDF2CE3"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9C6C50">
        <w:rPr>
          <w:rFonts w:eastAsia="Times New Roman" w:cs="Times New Roman"/>
          <w:b/>
          <w:szCs w:val="24"/>
        </w:rPr>
        <w:t>23</w:t>
      </w:r>
      <w:r w:rsidRPr="00326F16">
        <w:rPr>
          <w:rFonts w:eastAsia="Times New Roman" w:cs="Times New Roman"/>
          <w:b/>
          <w:szCs w:val="24"/>
        </w:rPr>
        <w:t>/</w:t>
      </w:r>
      <w:r w:rsidR="009C6C50">
        <w:rPr>
          <w:rFonts w:eastAsia="Times New Roman" w:cs="Times New Roman"/>
          <w:b/>
          <w:szCs w:val="24"/>
        </w:rPr>
        <w:t>219</w:t>
      </w:r>
    </w:p>
    <w:p w14:paraId="20A034DD" w14:textId="77777777" w:rsidR="00B674E6" w:rsidRDefault="00B674E6" w:rsidP="00B674E6">
      <w:pPr>
        <w:ind w:firstLine="709"/>
        <w:jc w:val="both"/>
        <w:rPr>
          <w:rFonts w:cs="Times New Roman"/>
          <w:szCs w:val="24"/>
        </w:rPr>
      </w:pPr>
    </w:p>
    <w:p w14:paraId="7D446F2A" w14:textId="029BF7EB" w:rsidR="00B674E6" w:rsidRPr="00014325" w:rsidRDefault="00B674E6" w:rsidP="00515861">
      <w:pPr>
        <w:ind w:firstLine="709"/>
        <w:jc w:val="both"/>
        <w:rPr>
          <w:rFonts w:eastAsia="Times New Roman" w:cs="Times New Roman"/>
          <w:bCs/>
          <w:color w:val="000000"/>
          <w:szCs w:val="24"/>
          <w:lang w:eastAsia="lv-LV"/>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006F2AAC">
        <w:rPr>
          <w:szCs w:val="24"/>
        </w:rPr>
        <w:t xml:space="preserve"> </w:t>
      </w:r>
      <w:r w:rsidRPr="00086A7A">
        <w:rPr>
          <w:szCs w:val="24"/>
        </w:rPr>
        <w:t>apliecina, ka nodrošinās iepirkuma “</w:t>
      </w:r>
      <w:r w:rsidR="009C6C50" w:rsidRPr="00EE7AB6">
        <w:rPr>
          <w:rFonts w:eastAsia="Times New Roman" w:cs="Times New Roman"/>
          <w:bCs/>
          <w:color w:val="000000"/>
          <w:szCs w:val="24"/>
          <w:lang w:eastAsia="lv-LV"/>
        </w:rPr>
        <w:t>Arhīva un krimināllietu vāku piegāde</w:t>
      </w:r>
      <w:r w:rsidRPr="009C6C50">
        <w:rPr>
          <w:szCs w:val="24"/>
        </w:rPr>
        <w:t>”, ID Nr.FM VID 20</w:t>
      </w:r>
      <w:r w:rsidR="008F6E9C" w:rsidRPr="009C6C50">
        <w:rPr>
          <w:szCs w:val="24"/>
        </w:rPr>
        <w:t>2</w:t>
      </w:r>
      <w:r w:rsidR="009C6C50">
        <w:rPr>
          <w:szCs w:val="24"/>
        </w:rPr>
        <w:t>3</w:t>
      </w:r>
      <w:r w:rsidRPr="009C6C50">
        <w:rPr>
          <w:szCs w:val="24"/>
        </w:rPr>
        <w:t>/</w:t>
      </w:r>
      <w:r w:rsidR="009C6C50">
        <w:rPr>
          <w:szCs w:val="24"/>
        </w:rPr>
        <w:t>219</w:t>
      </w:r>
      <w:r w:rsidRPr="009C6C50">
        <w:rPr>
          <w:szCs w:val="24"/>
        </w:rPr>
        <w:t xml:space="preserve"> izpildi atbilstoši obligātajām (minimālajām) tehniskajām prasībām un finanšu piedāvājumā noteiktajām cenām</w:t>
      </w:r>
      <w:r w:rsidR="00086A7A" w:rsidRPr="009C6C50">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0"/>
        <w:gridCol w:w="7651"/>
        <w:gridCol w:w="1290"/>
      </w:tblGrid>
      <w:tr w:rsidR="00E86B03" w:rsidRPr="002F1FD1" w14:paraId="592DCC3C" w14:textId="77777777" w:rsidTr="002F1FD1">
        <w:trPr>
          <w:trHeight w:val="123"/>
          <w:tblHeader/>
        </w:trPr>
        <w:tc>
          <w:tcPr>
            <w:tcW w:w="434" w:type="pct"/>
            <w:shd w:val="clear" w:color="auto" w:fill="BFBFBF" w:themeFill="background1" w:themeFillShade="BF"/>
            <w:vAlign w:val="center"/>
          </w:tcPr>
          <w:p w14:paraId="09887A92" w14:textId="77777777" w:rsidR="00E1001A" w:rsidRPr="002F1FD1" w:rsidRDefault="00E86B03" w:rsidP="00E1001A">
            <w:pPr>
              <w:jc w:val="center"/>
              <w:rPr>
                <w:rFonts w:eastAsia="Times New Roman" w:cs="Times New Roman"/>
                <w:b/>
                <w:szCs w:val="24"/>
                <w:lang w:eastAsia="lv-LV"/>
              </w:rPr>
            </w:pPr>
            <w:r w:rsidRPr="002F1FD1">
              <w:rPr>
                <w:rFonts w:eastAsia="Times New Roman" w:cs="Times New Roman"/>
                <w:b/>
                <w:szCs w:val="24"/>
                <w:lang w:eastAsia="lv-LV"/>
              </w:rPr>
              <w:t xml:space="preserve">Nr. </w:t>
            </w:r>
          </w:p>
          <w:p w14:paraId="4FCEB11D" w14:textId="04BE09BE" w:rsidR="00E86B03" w:rsidRPr="002F1FD1" w:rsidRDefault="00E86B03" w:rsidP="00E1001A">
            <w:pPr>
              <w:jc w:val="center"/>
              <w:rPr>
                <w:rFonts w:eastAsia="Times New Roman" w:cs="Times New Roman"/>
                <w:b/>
                <w:szCs w:val="24"/>
                <w:lang w:eastAsia="lv-LV"/>
              </w:rPr>
            </w:pPr>
            <w:r w:rsidRPr="002F1FD1">
              <w:rPr>
                <w:rFonts w:eastAsia="Times New Roman" w:cs="Times New Roman"/>
                <w:b/>
                <w:szCs w:val="24"/>
                <w:lang w:eastAsia="lv-LV"/>
              </w:rPr>
              <w:t>p.k.</w:t>
            </w:r>
          </w:p>
        </w:tc>
        <w:tc>
          <w:tcPr>
            <w:tcW w:w="3907" w:type="pct"/>
            <w:shd w:val="clear" w:color="auto" w:fill="BFBFBF" w:themeFill="background1" w:themeFillShade="BF"/>
            <w:vAlign w:val="center"/>
          </w:tcPr>
          <w:p w14:paraId="476D88E4" w14:textId="77777777" w:rsidR="00E86B03" w:rsidRPr="002F1FD1" w:rsidRDefault="00E86B03" w:rsidP="00E1001A">
            <w:pPr>
              <w:tabs>
                <w:tab w:val="left" w:pos="1725"/>
              </w:tabs>
              <w:jc w:val="center"/>
              <w:rPr>
                <w:rFonts w:eastAsia="Times New Roman" w:cs="Times New Roman"/>
                <w:b/>
                <w:szCs w:val="24"/>
                <w:lang w:eastAsia="lv-LV"/>
              </w:rPr>
            </w:pPr>
            <w:r w:rsidRPr="002F1FD1">
              <w:rPr>
                <w:rFonts w:eastAsia="Times New Roman" w:cs="Times New Roman"/>
                <w:b/>
                <w:szCs w:val="24"/>
                <w:lang w:eastAsia="lv-LV"/>
              </w:rPr>
              <w:t>Obligātās</w:t>
            </w:r>
            <w:r w:rsidR="00194A2E" w:rsidRPr="002F1FD1">
              <w:rPr>
                <w:rFonts w:eastAsia="Times New Roman" w:cs="Times New Roman"/>
                <w:b/>
                <w:szCs w:val="24"/>
                <w:lang w:eastAsia="lv-LV"/>
              </w:rPr>
              <w:t xml:space="preserve"> (minimālās)</w:t>
            </w:r>
            <w:r w:rsidRPr="002F1FD1">
              <w:rPr>
                <w:rFonts w:eastAsia="Times New Roman" w:cs="Times New Roman"/>
                <w:b/>
                <w:szCs w:val="24"/>
                <w:lang w:eastAsia="lv-LV"/>
              </w:rPr>
              <w:t xml:space="preserve"> prasības</w:t>
            </w:r>
          </w:p>
        </w:tc>
        <w:tc>
          <w:tcPr>
            <w:tcW w:w="659" w:type="pct"/>
            <w:shd w:val="clear" w:color="auto" w:fill="BFBFBF" w:themeFill="background1" w:themeFillShade="BF"/>
            <w:vAlign w:val="center"/>
          </w:tcPr>
          <w:p w14:paraId="5029671F" w14:textId="77777777" w:rsidR="00E86B03" w:rsidRPr="002F1FD1" w:rsidRDefault="00E86B03" w:rsidP="00E1001A">
            <w:pPr>
              <w:jc w:val="center"/>
              <w:rPr>
                <w:rFonts w:eastAsia="Times New Roman" w:cs="Times New Roman"/>
                <w:b/>
                <w:szCs w:val="24"/>
                <w:lang w:eastAsia="lv-LV"/>
              </w:rPr>
            </w:pPr>
            <w:r w:rsidRPr="002F1FD1">
              <w:rPr>
                <w:rFonts w:eastAsia="Times New Roman" w:cs="Times New Roman"/>
                <w:b/>
                <w:szCs w:val="24"/>
                <w:lang w:eastAsia="lv-LV"/>
              </w:rPr>
              <w:t>Pretendenta piedāvātais</w:t>
            </w:r>
          </w:p>
          <w:p w14:paraId="5F65F75D" w14:textId="77777777" w:rsidR="004D2AC6" w:rsidRPr="00050CBC" w:rsidRDefault="00D01AAD" w:rsidP="00E1001A">
            <w:pPr>
              <w:jc w:val="center"/>
              <w:rPr>
                <w:rFonts w:cs="Times New Roman"/>
                <w:i/>
                <w:szCs w:val="24"/>
                <w:u w:val="single"/>
              </w:rPr>
            </w:pPr>
            <w:r w:rsidRPr="00050CBC">
              <w:rPr>
                <w:rFonts w:cs="Times New Roman"/>
                <w:i/>
                <w:szCs w:val="24"/>
              </w:rPr>
              <w:t>(</w:t>
            </w:r>
            <w:r w:rsidRPr="00050CBC">
              <w:rPr>
                <w:rFonts w:cs="Times New Roman"/>
                <w:i/>
                <w:szCs w:val="24"/>
                <w:u w:val="single"/>
              </w:rPr>
              <w:t>pretendents</w:t>
            </w:r>
            <w:r w:rsidR="000F4217" w:rsidRPr="00050CBC">
              <w:rPr>
                <w:rStyle w:val="FootnoteReference"/>
                <w:rFonts w:cs="Times New Roman"/>
                <w:i/>
                <w:szCs w:val="24"/>
                <w:u w:val="single"/>
              </w:rPr>
              <w:footnoteReference w:id="2"/>
            </w:r>
            <w:r w:rsidRPr="00050CBC">
              <w:rPr>
                <w:rFonts w:cs="Times New Roman"/>
                <w:i/>
                <w:szCs w:val="24"/>
                <w:u w:val="single"/>
              </w:rPr>
              <w:t xml:space="preserve"> aizpilda </w:t>
            </w:r>
          </w:p>
          <w:p w14:paraId="454091FF" w14:textId="77777777" w:rsidR="00E86B03" w:rsidRPr="00050CBC" w:rsidRDefault="00D01AAD" w:rsidP="00E1001A">
            <w:pPr>
              <w:jc w:val="center"/>
              <w:rPr>
                <w:rFonts w:eastAsia="Times New Roman" w:cs="Times New Roman"/>
                <w:i/>
                <w:szCs w:val="24"/>
                <w:lang w:eastAsia="lv-LV"/>
              </w:rPr>
            </w:pPr>
            <w:r w:rsidRPr="00050CBC">
              <w:rPr>
                <w:rFonts w:cs="Times New Roman"/>
                <w:i/>
                <w:szCs w:val="24"/>
                <w:u w:val="single"/>
              </w:rPr>
              <w:t>katru aili</w:t>
            </w:r>
            <w:r w:rsidRPr="00050CBC">
              <w:rPr>
                <w:rFonts w:cs="Times New Roman"/>
                <w:i/>
                <w:szCs w:val="24"/>
              </w:rPr>
              <w:t>)</w:t>
            </w:r>
          </w:p>
        </w:tc>
      </w:tr>
      <w:tr w:rsidR="00E86B03" w:rsidRPr="002F1FD1" w14:paraId="3D60F6EE"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2F1FD1" w:rsidRDefault="00E86B03" w:rsidP="00E1001A">
            <w:pPr>
              <w:pStyle w:val="ListParagraph"/>
              <w:numPr>
                <w:ilvl w:val="0"/>
                <w:numId w:val="32"/>
              </w:numPr>
              <w:ind w:hanging="578"/>
              <w:rPr>
                <w:rFonts w:eastAsia="Times New Roman" w:cs="Times New Roman"/>
                <w:b/>
                <w:szCs w:val="24"/>
                <w:lang w:eastAsia="lv-LV"/>
              </w:rPr>
            </w:pPr>
          </w:p>
        </w:tc>
        <w:tc>
          <w:tcPr>
            <w:tcW w:w="4566"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2F1FD1" w:rsidRDefault="00E86B03" w:rsidP="00E1001A">
            <w:pPr>
              <w:jc w:val="center"/>
              <w:rPr>
                <w:rFonts w:eastAsia="Times New Roman" w:cs="Times New Roman"/>
                <w:szCs w:val="24"/>
                <w:lang w:eastAsia="lv-LV"/>
              </w:rPr>
            </w:pPr>
            <w:r w:rsidRPr="002F1FD1">
              <w:rPr>
                <w:rFonts w:eastAsia="Times New Roman" w:cs="Times New Roman"/>
                <w:b/>
                <w:bCs/>
                <w:szCs w:val="24"/>
                <w:lang w:eastAsia="lv-LV"/>
              </w:rPr>
              <w:t>Iepirkuma priekšmets</w:t>
            </w:r>
          </w:p>
        </w:tc>
      </w:tr>
      <w:tr w:rsidR="00E86B03" w:rsidRPr="002F1FD1" w14:paraId="6A978796"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2F1FD1" w:rsidRDefault="00E86B03" w:rsidP="00E1001A">
            <w:pPr>
              <w:pStyle w:val="ListParagraph"/>
              <w:numPr>
                <w:ilvl w:val="1"/>
                <w:numId w:val="32"/>
              </w:numPr>
              <w:ind w:hanging="578"/>
              <w:rPr>
                <w:rFonts w:eastAsia="Times New Roman" w:cs="Times New Roman"/>
                <w:b/>
                <w:szCs w:val="24"/>
                <w:lang w:eastAsia="lv-LV"/>
              </w:rPr>
            </w:pPr>
          </w:p>
        </w:tc>
        <w:tc>
          <w:tcPr>
            <w:tcW w:w="4566" w:type="pct"/>
            <w:gridSpan w:val="2"/>
            <w:tcBorders>
              <w:top w:val="single" w:sz="4" w:space="0" w:color="auto"/>
              <w:left w:val="single" w:sz="4" w:space="0" w:color="auto"/>
              <w:bottom w:val="single" w:sz="4" w:space="0" w:color="auto"/>
            </w:tcBorders>
          </w:tcPr>
          <w:p w14:paraId="7D777384" w14:textId="2DA53172" w:rsidR="000D2092" w:rsidRPr="002F1FD1" w:rsidRDefault="009C6C50" w:rsidP="00E1001A">
            <w:pPr>
              <w:ind w:left="135" w:right="145"/>
              <w:jc w:val="both"/>
              <w:rPr>
                <w:rFonts w:eastAsia="Times New Roman" w:cs="Times New Roman"/>
                <w:bCs/>
                <w:szCs w:val="24"/>
                <w:lang w:eastAsia="lv-LV"/>
              </w:rPr>
            </w:pPr>
            <w:r w:rsidRPr="00E31CBA">
              <w:rPr>
                <w:rFonts w:cs="Times New Roman"/>
                <w:szCs w:val="24"/>
              </w:rPr>
              <w:t>Arhīva un krimināllietu vāku  izgatavošana un piegāde dokumentu glabāšanai un arhivēšanai</w:t>
            </w:r>
            <w:r w:rsidRPr="00050CBC">
              <w:rPr>
                <w:rFonts w:cs="Times New Roman"/>
                <w:szCs w:val="24"/>
              </w:rPr>
              <w:t xml:space="preserve"> (turpmāk – Prece) saskaņā ar Valsts ieņēmumu dienesta (turpmāk – VID) prasībām.</w:t>
            </w:r>
          </w:p>
        </w:tc>
      </w:tr>
      <w:tr w:rsidR="00E86B03" w:rsidRPr="002F1FD1" w14:paraId="4AE631B0"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2F1FD1" w:rsidRDefault="00E86B03" w:rsidP="00E1001A">
            <w:pPr>
              <w:pStyle w:val="ListParagraph"/>
              <w:numPr>
                <w:ilvl w:val="0"/>
                <w:numId w:val="32"/>
              </w:numPr>
              <w:ind w:hanging="578"/>
              <w:rPr>
                <w:rFonts w:eastAsia="Times New Roman" w:cs="Times New Roman"/>
                <w:b/>
                <w:szCs w:val="24"/>
                <w:lang w:eastAsia="lv-LV"/>
              </w:rPr>
            </w:pPr>
          </w:p>
        </w:tc>
        <w:tc>
          <w:tcPr>
            <w:tcW w:w="4566"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262365F" w:rsidR="00E86B03" w:rsidRPr="002F1FD1" w:rsidRDefault="00005E79" w:rsidP="00E1001A">
            <w:pPr>
              <w:jc w:val="center"/>
              <w:rPr>
                <w:rFonts w:eastAsia="Times New Roman" w:cs="Times New Roman"/>
                <w:b/>
                <w:iCs/>
                <w:szCs w:val="24"/>
                <w:lang w:eastAsia="lv-LV"/>
              </w:rPr>
            </w:pPr>
            <w:r w:rsidRPr="002F1FD1">
              <w:rPr>
                <w:rFonts w:cs="Times New Roman"/>
                <w:b/>
                <w:iCs/>
                <w:szCs w:val="24"/>
              </w:rPr>
              <w:t>Preces t</w:t>
            </w:r>
            <w:r w:rsidR="00A47F92" w:rsidRPr="002F1FD1">
              <w:rPr>
                <w:rFonts w:cs="Times New Roman"/>
                <w:b/>
                <w:iCs/>
                <w:szCs w:val="24"/>
              </w:rPr>
              <w:t>e</w:t>
            </w:r>
            <w:r w:rsidR="00827C45" w:rsidRPr="002F1FD1">
              <w:rPr>
                <w:rFonts w:cs="Times New Roman"/>
                <w:b/>
                <w:iCs/>
                <w:szCs w:val="24"/>
              </w:rPr>
              <w:t>hniskās prasības</w:t>
            </w:r>
            <w:r w:rsidR="003E3655" w:rsidRPr="002F1FD1">
              <w:rPr>
                <w:rStyle w:val="FootnoteReference"/>
                <w:rFonts w:cs="Times New Roman"/>
                <w:b/>
                <w:iCs/>
                <w:szCs w:val="24"/>
              </w:rPr>
              <w:footnoteReference w:id="3"/>
            </w:r>
            <w:r w:rsidR="004B501C" w:rsidRPr="002F1FD1">
              <w:rPr>
                <w:rFonts w:cs="Times New Roman"/>
                <w:b/>
                <w:iCs/>
                <w:szCs w:val="24"/>
              </w:rPr>
              <w:t>,</w:t>
            </w:r>
            <w:r w:rsidR="004B501C" w:rsidRPr="002F1FD1">
              <w:rPr>
                <w:rStyle w:val="FootnoteReference"/>
                <w:rFonts w:cs="Times New Roman"/>
                <w:b/>
                <w:iCs/>
                <w:szCs w:val="24"/>
              </w:rPr>
              <w:footnoteReference w:id="4"/>
            </w:r>
          </w:p>
        </w:tc>
      </w:tr>
      <w:tr w:rsidR="00240842" w:rsidRPr="002F1FD1" w14:paraId="24FF91FC" w14:textId="77777777" w:rsidTr="002F1FD1">
        <w:trPr>
          <w:trHeight w:val="310"/>
        </w:trPr>
        <w:tc>
          <w:tcPr>
            <w:tcW w:w="434" w:type="pct"/>
            <w:tcBorders>
              <w:top w:val="single" w:sz="4" w:space="0" w:color="auto"/>
            </w:tcBorders>
            <w:vAlign w:val="center"/>
          </w:tcPr>
          <w:p w14:paraId="7C0D0593" w14:textId="6130F19A" w:rsidR="00240842" w:rsidRPr="002F1FD1" w:rsidRDefault="00240842" w:rsidP="00E1001A">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7D28812D" w14:textId="20B8060B" w:rsidR="009C6C50" w:rsidRPr="00050CBC" w:rsidRDefault="002F1FD1" w:rsidP="009C6C50">
            <w:pPr>
              <w:ind w:left="137" w:right="138"/>
              <w:jc w:val="both"/>
              <w:rPr>
                <w:rFonts w:cs="Times New Roman"/>
                <w:b/>
                <w:szCs w:val="24"/>
              </w:rPr>
            </w:pPr>
            <w:r>
              <w:rPr>
                <w:rFonts w:cs="Times New Roman"/>
                <w:b/>
                <w:szCs w:val="24"/>
              </w:rPr>
              <w:t>A</w:t>
            </w:r>
            <w:r w:rsidR="009C6C50" w:rsidRPr="00050CBC">
              <w:rPr>
                <w:rFonts w:cs="Times New Roman"/>
                <w:b/>
                <w:szCs w:val="24"/>
              </w:rPr>
              <w:t xml:space="preserve">rhīva lietu </w:t>
            </w:r>
            <w:r>
              <w:rPr>
                <w:rFonts w:cs="Times New Roman"/>
                <w:b/>
                <w:szCs w:val="24"/>
              </w:rPr>
              <w:t>v</w:t>
            </w:r>
            <w:r w:rsidRPr="00C6404B">
              <w:rPr>
                <w:rFonts w:cs="Times New Roman"/>
                <w:b/>
                <w:szCs w:val="24"/>
              </w:rPr>
              <w:t>āk</w:t>
            </w:r>
            <w:r>
              <w:rPr>
                <w:rFonts w:cs="Times New Roman"/>
                <w:b/>
                <w:szCs w:val="24"/>
              </w:rPr>
              <w:t>i</w:t>
            </w:r>
            <w:r w:rsidRPr="002F1FD1">
              <w:rPr>
                <w:rFonts w:cs="Times New Roman"/>
                <w:b/>
                <w:szCs w:val="24"/>
              </w:rPr>
              <w:t xml:space="preserve"> </w:t>
            </w:r>
            <w:r w:rsidR="009C6C50" w:rsidRPr="00515861">
              <w:rPr>
                <w:rFonts w:cs="Times New Roman"/>
                <w:b/>
                <w:szCs w:val="24"/>
              </w:rPr>
              <w:t>(A4 formāta)</w:t>
            </w:r>
            <w:r w:rsidR="009C6C50" w:rsidRPr="00050CBC">
              <w:rPr>
                <w:rFonts w:cs="Times New Roman"/>
                <w:b/>
                <w:szCs w:val="24"/>
              </w:rPr>
              <w:t xml:space="preserve"> </w:t>
            </w:r>
          </w:p>
          <w:p w14:paraId="5B1DC936" w14:textId="77777777" w:rsidR="00240842" w:rsidRPr="002F1FD1" w:rsidRDefault="009C6C50" w:rsidP="00E1001A">
            <w:pPr>
              <w:tabs>
                <w:tab w:val="left" w:pos="1108"/>
              </w:tabs>
              <w:ind w:left="135" w:right="83"/>
              <w:jc w:val="both"/>
              <w:rPr>
                <w:rFonts w:eastAsia="Times New Roman" w:cs="Times New Roman"/>
                <w:szCs w:val="24"/>
                <w:lang w:eastAsia="lv-LV"/>
              </w:rPr>
            </w:pPr>
            <w:r w:rsidRPr="00050CBC">
              <w:rPr>
                <w:rFonts w:eastAsia="Calibri" w:cs="Times New Roman"/>
                <w:b/>
                <w:noProof/>
                <w:szCs w:val="24"/>
              </w:rPr>
              <w:lastRenderedPageBreak/>
              <w:drawing>
                <wp:inline distT="0" distB="0" distL="0" distR="0" wp14:anchorId="719D4B34" wp14:editId="307EF65D">
                  <wp:extent cx="2562225" cy="1133292"/>
                  <wp:effectExtent l="9843" t="0" r="317" b="318"/>
                  <wp:docPr id="1" name="Picture 1" descr="D:\Users\vid00015\Desktop\bilde parauga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vid00015\Desktop\bilde paraugam 2.jpg"/>
                          <pic:cNvPicPr>
                            <a:picLocks noChangeAspect="1" noChangeArrowheads="1"/>
                          </pic:cNvPicPr>
                        </pic:nvPicPr>
                        <pic:blipFill>
                          <a:blip r:embed="rId11" cstate="print">
                            <a:extLst>
                              <a:ext uri="{28A0092B-C50C-407E-A947-70E740481C1C}">
                                <a14:useLocalDpi xmlns:a14="http://schemas.microsoft.com/office/drawing/2010/main" val="0"/>
                              </a:ext>
                            </a:extLst>
                          </a:blip>
                          <a:srcRect t="-1601" r="546" b="-4405"/>
                          <a:stretch>
                            <a:fillRect/>
                          </a:stretch>
                        </pic:blipFill>
                        <pic:spPr bwMode="auto">
                          <a:xfrm rot="5400000">
                            <a:off x="0" y="0"/>
                            <a:ext cx="2577273" cy="1139948"/>
                          </a:xfrm>
                          <a:prstGeom prst="rect">
                            <a:avLst/>
                          </a:prstGeom>
                          <a:noFill/>
                          <a:ln>
                            <a:noFill/>
                          </a:ln>
                        </pic:spPr>
                      </pic:pic>
                    </a:graphicData>
                  </a:graphic>
                </wp:inline>
              </w:drawing>
            </w:r>
            <w:r w:rsidRPr="00050CBC">
              <w:rPr>
                <w:rFonts w:eastAsia="Calibri" w:cs="Times New Roman"/>
                <w:b/>
                <w:noProof/>
                <w:szCs w:val="24"/>
              </w:rPr>
              <w:drawing>
                <wp:inline distT="0" distB="0" distL="0" distR="0" wp14:anchorId="2855FD6E" wp14:editId="755A5389">
                  <wp:extent cx="1451695" cy="255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3378" cy="2555660"/>
                          </a:xfrm>
                          <a:prstGeom prst="rect">
                            <a:avLst/>
                          </a:prstGeom>
                          <a:noFill/>
                        </pic:spPr>
                      </pic:pic>
                    </a:graphicData>
                  </a:graphic>
                </wp:inline>
              </w:drawing>
            </w:r>
          </w:p>
          <w:p w14:paraId="1A9BD409" w14:textId="0DA36022" w:rsidR="009C6C50" w:rsidRPr="002F1FD1" w:rsidRDefault="009C6C50" w:rsidP="00E1001A">
            <w:pPr>
              <w:tabs>
                <w:tab w:val="left" w:pos="1108"/>
              </w:tabs>
              <w:ind w:left="135" w:right="83"/>
              <w:jc w:val="both"/>
              <w:rPr>
                <w:rFonts w:eastAsia="Times New Roman" w:cs="Times New Roman"/>
                <w:szCs w:val="24"/>
                <w:lang w:eastAsia="lv-LV"/>
              </w:rPr>
            </w:pPr>
            <w:r w:rsidRPr="00050CBC">
              <w:rPr>
                <w:rFonts w:cs="Times New Roman"/>
                <w:i/>
                <w:szCs w:val="24"/>
              </w:rPr>
              <w:t>*Attēlam ilustratīvs raksturs</w:t>
            </w:r>
          </w:p>
        </w:tc>
        <w:tc>
          <w:tcPr>
            <w:tcW w:w="659" w:type="pct"/>
          </w:tcPr>
          <w:p w14:paraId="67222C04" w14:textId="73A8785C" w:rsidR="00240842" w:rsidRPr="002F1FD1" w:rsidRDefault="00240842" w:rsidP="006335A4">
            <w:pPr>
              <w:ind w:right="126"/>
              <w:jc w:val="both"/>
              <w:rPr>
                <w:rFonts w:eastAsia="Times New Roman" w:cs="Times New Roman"/>
                <w:szCs w:val="24"/>
                <w:lang w:eastAsia="lv-LV"/>
              </w:rPr>
            </w:pPr>
          </w:p>
        </w:tc>
      </w:tr>
      <w:tr w:rsidR="009C6C50" w:rsidRPr="002F1FD1" w14:paraId="2E6ADBC6" w14:textId="77777777" w:rsidTr="002F1FD1">
        <w:trPr>
          <w:trHeight w:val="310"/>
        </w:trPr>
        <w:tc>
          <w:tcPr>
            <w:tcW w:w="434" w:type="pct"/>
            <w:tcBorders>
              <w:top w:val="single" w:sz="4" w:space="0" w:color="auto"/>
            </w:tcBorders>
            <w:vAlign w:val="center"/>
          </w:tcPr>
          <w:p w14:paraId="7B904609" w14:textId="2D768ABA" w:rsidR="009C6C50" w:rsidRPr="00050CBC" w:rsidRDefault="002F1FD1" w:rsidP="00050CBC">
            <w:pPr>
              <w:rPr>
                <w:rFonts w:eastAsia="Times New Roman" w:cs="Times New Roman"/>
                <w:bCs/>
                <w:szCs w:val="24"/>
                <w:lang w:eastAsia="lv-LV"/>
              </w:rPr>
            </w:pPr>
            <w:r w:rsidRPr="00050CBC">
              <w:rPr>
                <w:rFonts w:eastAsia="Times New Roman" w:cs="Times New Roman"/>
                <w:bCs/>
                <w:szCs w:val="24"/>
                <w:lang w:eastAsia="lv-LV"/>
              </w:rPr>
              <w:t xml:space="preserve"> 2.1.1.</w:t>
            </w:r>
          </w:p>
        </w:tc>
        <w:tc>
          <w:tcPr>
            <w:tcW w:w="3907" w:type="pct"/>
            <w:tcBorders>
              <w:top w:val="single" w:sz="4" w:space="0" w:color="auto"/>
            </w:tcBorders>
          </w:tcPr>
          <w:p w14:paraId="68DBD123" w14:textId="25B3083A" w:rsidR="009C6C50" w:rsidRPr="006F2AAC" w:rsidRDefault="009C6C50" w:rsidP="009C6C50">
            <w:pPr>
              <w:tabs>
                <w:tab w:val="left" w:pos="1108"/>
              </w:tabs>
              <w:ind w:left="135" w:right="83"/>
              <w:jc w:val="both"/>
              <w:rPr>
                <w:rFonts w:eastAsia="Times New Roman" w:cs="Times New Roman"/>
                <w:szCs w:val="24"/>
                <w:lang w:eastAsia="lv-LV"/>
              </w:rPr>
            </w:pPr>
            <w:r w:rsidRPr="006F2AAC">
              <w:rPr>
                <w:rFonts w:cs="Times New Roman"/>
                <w:szCs w:val="24"/>
              </w:rPr>
              <w:t xml:space="preserve">Izmēri: garums </w:t>
            </w:r>
            <w:r w:rsidRPr="00515861">
              <w:rPr>
                <w:rFonts w:cs="Times New Roman"/>
                <w:szCs w:val="24"/>
              </w:rPr>
              <w:t>485</w:t>
            </w:r>
            <w:r w:rsidRPr="00515861">
              <w:rPr>
                <w:rFonts w:cs="Times New Roman"/>
                <w:szCs w:val="24"/>
              </w:rPr>
              <w:sym w:font="Symbol" w:char="F0B1"/>
            </w:r>
            <w:r w:rsidRPr="00515861">
              <w:rPr>
                <w:rFonts w:cs="Times New Roman"/>
                <w:szCs w:val="24"/>
              </w:rPr>
              <w:t>5 mm; platums 320</w:t>
            </w:r>
            <w:r w:rsidRPr="00515861">
              <w:rPr>
                <w:rFonts w:cs="Times New Roman"/>
                <w:szCs w:val="24"/>
              </w:rPr>
              <w:sym w:font="Symbol" w:char="F0B1"/>
            </w:r>
            <w:r w:rsidRPr="00515861">
              <w:rPr>
                <w:rFonts w:cs="Times New Roman"/>
                <w:szCs w:val="24"/>
              </w:rPr>
              <w:t>5 mm</w:t>
            </w:r>
            <w:r w:rsidR="006F2AAC">
              <w:rPr>
                <w:rFonts w:cs="Times New Roman"/>
                <w:szCs w:val="24"/>
              </w:rPr>
              <w:t>.</w:t>
            </w:r>
          </w:p>
        </w:tc>
        <w:tc>
          <w:tcPr>
            <w:tcW w:w="659" w:type="pct"/>
          </w:tcPr>
          <w:p w14:paraId="53F30DF2"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0EADA6FE" w14:textId="77777777" w:rsidTr="002F1FD1">
        <w:trPr>
          <w:trHeight w:val="310"/>
        </w:trPr>
        <w:tc>
          <w:tcPr>
            <w:tcW w:w="434" w:type="pct"/>
            <w:tcBorders>
              <w:top w:val="single" w:sz="4" w:space="0" w:color="auto"/>
            </w:tcBorders>
            <w:vAlign w:val="center"/>
          </w:tcPr>
          <w:p w14:paraId="547E131F" w14:textId="76449D26" w:rsidR="009C6C50" w:rsidRPr="00050CBC" w:rsidRDefault="002F1FD1" w:rsidP="00050CBC">
            <w:pPr>
              <w:rPr>
                <w:rFonts w:eastAsia="Times New Roman" w:cs="Times New Roman"/>
                <w:bCs/>
                <w:szCs w:val="24"/>
                <w:lang w:eastAsia="lv-LV"/>
              </w:rPr>
            </w:pPr>
            <w:r w:rsidRPr="00050CBC">
              <w:rPr>
                <w:rFonts w:eastAsia="Times New Roman" w:cs="Times New Roman"/>
                <w:bCs/>
                <w:szCs w:val="24"/>
                <w:lang w:eastAsia="lv-LV"/>
              </w:rPr>
              <w:t xml:space="preserve"> 2.1.2.</w:t>
            </w:r>
          </w:p>
        </w:tc>
        <w:tc>
          <w:tcPr>
            <w:tcW w:w="3907" w:type="pct"/>
            <w:tcBorders>
              <w:top w:val="single" w:sz="4" w:space="0" w:color="auto"/>
            </w:tcBorders>
          </w:tcPr>
          <w:p w14:paraId="03B05E16" w14:textId="18C6F627"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Locījuma vietas vāka aizvēršanai: ar 6 rievojumiem</w:t>
            </w:r>
            <w:r w:rsidR="006F2AAC">
              <w:rPr>
                <w:rFonts w:cs="Times New Roman"/>
                <w:szCs w:val="24"/>
              </w:rPr>
              <w:t>.</w:t>
            </w:r>
          </w:p>
        </w:tc>
        <w:tc>
          <w:tcPr>
            <w:tcW w:w="659" w:type="pct"/>
          </w:tcPr>
          <w:p w14:paraId="201632F5"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7E453CA6" w14:textId="77777777" w:rsidTr="002F1FD1">
        <w:trPr>
          <w:trHeight w:val="310"/>
        </w:trPr>
        <w:tc>
          <w:tcPr>
            <w:tcW w:w="434" w:type="pct"/>
            <w:tcBorders>
              <w:top w:val="single" w:sz="4" w:space="0" w:color="auto"/>
            </w:tcBorders>
            <w:vAlign w:val="center"/>
          </w:tcPr>
          <w:p w14:paraId="4A8DC739" w14:textId="0674902F" w:rsidR="009C6C50" w:rsidRPr="00050CBC" w:rsidRDefault="002F1FD1" w:rsidP="00050CBC">
            <w:pPr>
              <w:rPr>
                <w:rFonts w:eastAsia="Times New Roman" w:cs="Times New Roman"/>
                <w:bCs/>
                <w:szCs w:val="24"/>
                <w:lang w:eastAsia="lv-LV"/>
              </w:rPr>
            </w:pPr>
            <w:r w:rsidRPr="00050CBC">
              <w:rPr>
                <w:rFonts w:eastAsia="Times New Roman" w:cs="Times New Roman"/>
                <w:bCs/>
                <w:szCs w:val="24"/>
                <w:lang w:eastAsia="lv-LV"/>
              </w:rPr>
              <w:t xml:space="preserve"> 2.1.3.</w:t>
            </w:r>
          </w:p>
        </w:tc>
        <w:tc>
          <w:tcPr>
            <w:tcW w:w="3907" w:type="pct"/>
            <w:tcBorders>
              <w:top w:val="single" w:sz="4" w:space="0" w:color="auto"/>
            </w:tcBorders>
          </w:tcPr>
          <w:p w14:paraId="3C20A97A" w14:textId="604F5456"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Sānu ietilpība: vismaz 250 loksnes</w:t>
            </w:r>
            <w:r w:rsidR="006F2AAC">
              <w:rPr>
                <w:rFonts w:cs="Times New Roman"/>
                <w:szCs w:val="24"/>
              </w:rPr>
              <w:t>.</w:t>
            </w:r>
          </w:p>
        </w:tc>
        <w:tc>
          <w:tcPr>
            <w:tcW w:w="659" w:type="pct"/>
          </w:tcPr>
          <w:p w14:paraId="4C128A02"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4133FD48" w14:textId="77777777" w:rsidTr="002F1FD1">
        <w:trPr>
          <w:trHeight w:val="310"/>
        </w:trPr>
        <w:tc>
          <w:tcPr>
            <w:tcW w:w="434" w:type="pct"/>
            <w:tcBorders>
              <w:top w:val="single" w:sz="4" w:space="0" w:color="auto"/>
            </w:tcBorders>
            <w:vAlign w:val="center"/>
          </w:tcPr>
          <w:p w14:paraId="42195834" w14:textId="00B9634E" w:rsidR="009C6C50" w:rsidRPr="00050CBC" w:rsidRDefault="002F1FD1" w:rsidP="00050CBC">
            <w:pPr>
              <w:rPr>
                <w:rFonts w:eastAsia="Times New Roman" w:cs="Times New Roman"/>
                <w:bCs/>
                <w:szCs w:val="24"/>
                <w:lang w:eastAsia="lv-LV"/>
              </w:rPr>
            </w:pPr>
            <w:r w:rsidRPr="00050CBC">
              <w:rPr>
                <w:rFonts w:eastAsia="Times New Roman" w:cs="Times New Roman"/>
                <w:bCs/>
                <w:szCs w:val="24"/>
                <w:lang w:eastAsia="lv-LV"/>
              </w:rPr>
              <w:t xml:space="preserve"> 2.1.4.</w:t>
            </w:r>
          </w:p>
        </w:tc>
        <w:tc>
          <w:tcPr>
            <w:tcW w:w="3907" w:type="pct"/>
            <w:tcBorders>
              <w:top w:val="single" w:sz="4" w:space="0" w:color="auto"/>
            </w:tcBorders>
          </w:tcPr>
          <w:p w14:paraId="6159A74B" w14:textId="5E635B14"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Apdruka: 1+0</w:t>
            </w:r>
            <w:r w:rsidR="006F2AAC">
              <w:rPr>
                <w:rFonts w:cs="Times New Roman"/>
                <w:szCs w:val="24"/>
              </w:rPr>
              <w:t>.</w:t>
            </w:r>
          </w:p>
        </w:tc>
        <w:tc>
          <w:tcPr>
            <w:tcW w:w="659" w:type="pct"/>
          </w:tcPr>
          <w:p w14:paraId="4773D15F"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183BD8A0" w14:textId="77777777" w:rsidTr="002F1FD1">
        <w:trPr>
          <w:trHeight w:val="310"/>
        </w:trPr>
        <w:tc>
          <w:tcPr>
            <w:tcW w:w="434" w:type="pct"/>
            <w:tcBorders>
              <w:top w:val="single" w:sz="4" w:space="0" w:color="auto"/>
            </w:tcBorders>
            <w:vAlign w:val="center"/>
          </w:tcPr>
          <w:p w14:paraId="7591AE88" w14:textId="0CE40040" w:rsidR="009C6C50" w:rsidRPr="00050CBC" w:rsidRDefault="002F1FD1" w:rsidP="00050CBC">
            <w:pPr>
              <w:rPr>
                <w:rFonts w:eastAsia="Times New Roman" w:cs="Times New Roman"/>
                <w:bCs/>
                <w:szCs w:val="24"/>
                <w:lang w:eastAsia="lv-LV"/>
              </w:rPr>
            </w:pPr>
            <w:r w:rsidRPr="00050CBC">
              <w:rPr>
                <w:rFonts w:eastAsia="Times New Roman" w:cs="Times New Roman"/>
                <w:bCs/>
                <w:szCs w:val="24"/>
                <w:lang w:eastAsia="lv-LV"/>
              </w:rPr>
              <w:t xml:space="preserve"> 2.1.5.</w:t>
            </w:r>
          </w:p>
        </w:tc>
        <w:tc>
          <w:tcPr>
            <w:tcW w:w="3907" w:type="pct"/>
            <w:tcBorders>
              <w:top w:val="single" w:sz="4" w:space="0" w:color="auto"/>
            </w:tcBorders>
          </w:tcPr>
          <w:p w14:paraId="70E17ECE" w14:textId="1358ED2A"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Materiāls: kartons, bez polimēra pārklājuma, glancējuma, nekrāsots, bez mehānismiem.</w:t>
            </w:r>
          </w:p>
        </w:tc>
        <w:tc>
          <w:tcPr>
            <w:tcW w:w="659" w:type="pct"/>
          </w:tcPr>
          <w:p w14:paraId="15CA9827"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1A113D9D" w14:textId="77777777" w:rsidTr="002F1FD1">
        <w:trPr>
          <w:trHeight w:val="310"/>
        </w:trPr>
        <w:tc>
          <w:tcPr>
            <w:tcW w:w="434" w:type="pct"/>
            <w:vMerge w:val="restart"/>
            <w:tcBorders>
              <w:top w:val="single" w:sz="4" w:space="0" w:color="auto"/>
            </w:tcBorders>
            <w:vAlign w:val="center"/>
          </w:tcPr>
          <w:p w14:paraId="3B99E94E" w14:textId="2B41E9B9" w:rsidR="009C6C50" w:rsidRPr="002F1FD1" w:rsidRDefault="009C6C50" w:rsidP="00014325">
            <w:pPr>
              <w:rPr>
                <w:rFonts w:eastAsia="Times New Roman" w:cs="Times New Roman"/>
                <w:bCs/>
                <w:szCs w:val="24"/>
                <w:lang w:eastAsia="lv-LV"/>
              </w:rPr>
            </w:pPr>
            <w:r w:rsidRPr="002F1FD1">
              <w:rPr>
                <w:rFonts w:eastAsia="Times New Roman" w:cs="Times New Roman"/>
                <w:bCs/>
                <w:szCs w:val="24"/>
                <w:lang w:eastAsia="lv-LV"/>
              </w:rPr>
              <w:t xml:space="preserve"> 2.</w:t>
            </w:r>
            <w:r w:rsidR="002F1FD1">
              <w:rPr>
                <w:rFonts w:eastAsia="Times New Roman" w:cs="Times New Roman"/>
                <w:bCs/>
                <w:szCs w:val="24"/>
                <w:lang w:eastAsia="lv-LV"/>
              </w:rPr>
              <w:t>1.6</w:t>
            </w:r>
            <w:r w:rsidRPr="002F1FD1">
              <w:rPr>
                <w:rFonts w:eastAsia="Times New Roman" w:cs="Times New Roman"/>
                <w:bCs/>
                <w:szCs w:val="24"/>
                <w:lang w:eastAsia="lv-LV"/>
              </w:rPr>
              <w:t>.</w:t>
            </w:r>
          </w:p>
        </w:tc>
        <w:tc>
          <w:tcPr>
            <w:tcW w:w="3907" w:type="pct"/>
            <w:tcBorders>
              <w:top w:val="single" w:sz="4" w:space="0" w:color="auto"/>
            </w:tcBorders>
          </w:tcPr>
          <w:p w14:paraId="331A1F6D" w14:textId="77777777" w:rsidR="009C6C50" w:rsidRPr="00050CBC" w:rsidRDefault="009C6C50" w:rsidP="009C6C50">
            <w:pPr>
              <w:tabs>
                <w:tab w:val="left" w:pos="567"/>
              </w:tabs>
              <w:ind w:left="150" w:right="138"/>
              <w:contextualSpacing/>
              <w:jc w:val="both"/>
              <w:rPr>
                <w:rFonts w:cs="Times New Roman"/>
                <w:szCs w:val="24"/>
              </w:rPr>
            </w:pPr>
            <w:r w:rsidRPr="00050CBC">
              <w:rPr>
                <w:rFonts w:cs="Times New Roman"/>
                <w:szCs w:val="24"/>
              </w:rPr>
              <w:t>Kartona raksturlielumi:</w:t>
            </w:r>
          </w:p>
          <w:p w14:paraId="1A9828BC" w14:textId="24AA076D" w:rsidR="009C6C50" w:rsidRPr="00050CBC" w:rsidRDefault="009C6C50" w:rsidP="009C6C50">
            <w:pPr>
              <w:tabs>
                <w:tab w:val="left" w:pos="1108"/>
              </w:tabs>
              <w:ind w:left="135" w:right="83"/>
              <w:jc w:val="both"/>
              <w:rPr>
                <w:rFonts w:cs="Times New Roman"/>
                <w:szCs w:val="24"/>
              </w:rPr>
            </w:pPr>
            <w:r w:rsidRPr="00050CBC">
              <w:rPr>
                <w:rFonts w:cs="Times New Roman"/>
                <w:szCs w:val="24"/>
              </w:rPr>
              <w:t>2.</w:t>
            </w:r>
            <w:r w:rsidR="002F1FD1">
              <w:rPr>
                <w:rFonts w:cs="Times New Roman"/>
                <w:szCs w:val="24"/>
              </w:rPr>
              <w:t>1</w:t>
            </w:r>
            <w:r w:rsidRPr="00050CBC">
              <w:rPr>
                <w:rFonts w:cs="Times New Roman"/>
                <w:szCs w:val="24"/>
              </w:rPr>
              <w:t>.</w:t>
            </w:r>
            <w:r w:rsidR="002F1FD1">
              <w:rPr>
                <w:rFonts w:cs="Times New Roman"/>
                <w:szCs w:val="24"/>
              </w:rPr>
              <w:t>6</w:t>
            </w:r>
            <w:r w:rsidRPr="00050CBC">
              <w:rPr>
                <w:rFonts w:cs="Times New Roman"/>
                <w:szCs w:val="24"/>
              </w:rPr>
              <w:t>.1. Biezums 0,9</w:t>
            </w:r>
            <w:r w:rsidRPr="00050CBC">
              <w:rPr>
                <w:rFonts w:cs="Times New Roman"/>
                <w:szCs w:val="24"/>
              </w:rPr>
              <w:sym w:font="Symbol" w:char="F0B1"/>
            </w:r>
            <w:r w:rsidRPr="00050CBC">
              <w:rPr>
                <w:rFonts w:cs="Times New Roman"/>
                <w:szCs w:val="24"/>
              </w:rPr>
              <w:t>0,05 mm</w:t>
            </w:r>
            <w:r w:rsidR="006F2AAC">
              <w:rPr>
                <w:rFonts w:cs="Times New Roman"/>
                <w:szCs w:val="24"/>
              </w:rPr>
              <w:t>;</w:t>
            </w:r>
          </w:p>
        </w:tc>
        <w:tc>
          <w:tcPr>
            <w:tcW w:w="659" w:type="pct"/>
          </w:tcPr>
          <w:p w14:paraId="5A5F6E24"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5FA32652" w14:textId="77777777" w:rsidTr="002F1FD1">
        <w:trPr>
          <w:trHeight w:val="310"/>
        </w:trPr>
        <w:tc>
          <w:tcPr>
            <w:tcW w:w="434" w:type="pct"/>
            <w:vMerge/>
            <w:vAlign w:val="center"/>
          </w:tcPr>
          <w:p w14:paraId="27E47A2A" w14:textId="77777777" w:rsidR="009C6C50" w:rsidRPr="002F1FD1" w:rsidRDefault="009C6C50" w:rsidP="00014325">
            <w:pPr>
              <w:pStyle w:val="ListParagraph"/>
              <w:rPr>
                <w:rFonts w:eastAsia="Times New Roman" w:cs="Times New Roman"/>
                <w:b/>
                <w:szCs w:val="24"/>
                <w:lang w:eastAsia="lv-LV"/>
              </w:rPr>
            </w:pPr>
          </w:p>
        </w:tc>
        <w:tc>
          <w:tcPr>
            <w:tcW w:w="3907" w:type="pct"/>
            <w:tcBorders>
              <w:top w:val="single" w:sz="4" w:space="0" w:color="auto"/>
            </w:tcBorders>
          </w:tcPr>
          <w:p w14:paraId="032F614C" w14:textId="405D6C89" w:rsidR="009C6C50" w:rsidRPr="00050CBC" w:rsidRDefault="009C6C50" w:rsidP="009C6C50">
            <w:pPr>
              <w:tabs>
                <w:tab w:val="left" w:pos="1108"/>
              </w:tabs>
              <w:ind w:left="135" w:right="83"/>
              <w:jc w:val="both"/>
              <w:rPr>
                <w:rFonts w:cs="Times New Roman"/>
                <w:szCs w:val="24"/>
              </w:rPr>
            </w:pPr>
            <w:r w:rsidRPr="00050CBC">
              <w:rPr>
                <w:rFonts w:cs="Times New Roman"/>
                <w:szCs w:val="24"/>
              </w:rPr>
              <w:t>2.</w:t>
            </w:r>
            <w:r w:rsidR="002F1FD1">
              <w:rPr>
                <w:rFonts w:cs="Times New Roman"/>
                <w:szCs w:val="24"/>
              </w:rPr>
              <w:t>1</w:t>
            </w:r>
            <w:r w:rsidRPr="00050CBC">
              <w:rPr>
                <w:rFonts w:cs="Times New Roman"/>
                <w:szCs w:val="24"/>
              </w:rPr>
              <w:t>.</w:t>
            </w:r>
            <w:r w:rsidR="002F1FD1">
              <w:rPr>
                <w:rFonts w:cs="Times New Roman"/>
                <w:szCs w:val="24"/>
              </w:rPr>
              <w:t>6</w:t>
            </w:r>
            <w:r w:rsidRPr="00050CBC">
              <w:rPr>
                <w:rFonts w:cs="Times New Roman"/>
                <w:szCs w:val="24"/>
              </w:rPr>
              <w:t>.2. 1 m</w:t>
            </w:r>
            <w:r w:rsidRPr="00050CBC">
              <w:rPr>
                <w:rFonts w:cs="Times New Roman"/>
                <w:szCs w:val="24"/>
                <w:vertAlign w:val="superscript"/>
              </w:rPr>
              <w:t>2</w:t>
            </w:r>
            <w:r w:rsidRPr="00050CBC">
              <w:rPr>
                <w:rFonts w:cs="Times New Roman"/>
                <w:szCs w:val="24"/>
              </w:rPr>
              <w:t xml:space="preserve"> svars 620</w:t>
            </w:r>
            <w:r w:rsidRPr="00050CBC">
              <w:rPr>
                <w:rFonts w:cs="Times New Roman"/>
                <w:szCs w:val="24"/>
              </w:rPr>
              <w:sym w:font="Symbol" w:char="F0B1"/>
            </w:r>
            <w:r w:rsidRPr="00050CBC">
              <w:rPr>
                <w:rFonts w:cs="Times New Roman"/>
                <w:szCs w:val="24"/>
              </w:rPr>
              <w:t>40 g;</w:t>
            </w:r>
          </w:p>
        </w:tc>
        <w:tc>
          <w:tcPr>
            <w:tcW w:w="659" w:type="pct"/>
          </w:tcPr>
          <w:p w14:paraId="4BB45163"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574245A5" w14:textId="77777777" w:rsidTr="002F1FD1">
        <w:trPr>
          <w:trHeight w:val="310"/>
        </w:trPr>
        <w:tc>
          <w:tcPr>
            <w:tcW w:w="434" w:type="pct"/>
            <w:vMerge/>
            <w:vAlign w:val="center"/>
          </w:tcPr>
          <w:p w14:paraId="5854118E" w14:textId="77777777" w:rsidR="009C6C50" w:rsidRPr="002F1FD1" w:rsidRDefault="009C6C50" w:rsidP="00014325">
            <w:pPr>
              <w:pStyle w:val="ListParagraph"/>
              <w:rPr>
                <w:rFonts w:eastAsia="Times New Roman" w:cs="Times New Roman"/>
                <w:b/>
                <w:szCs w:val="24"/>
                <w:lang w:eastAsia="lv-LV"/>
              </w:rPr>
            </w:pPr>
          </w:p>
        </w:tc>
        <w:tc>
          <w:tcPr>
            <w:tcW w:w="3907" w:type="pct"/>
            <w:tcBorders>
              <w:top w:val="single" w:sz="4" w:space="0" w:color="auto"/>
            </w:tcBorders>
          </w:tcPr>
          <w:p w14:paraId="2C325685" w14:textId="017B12F1" w:rsidR="009C6C50" w:rsidRPr="00050CBC" w:rsidRDefault="009C6C50" w:rsidP="009C6C50">
            <w:pPr>
              <w:tabs>
                <w:tab w:val="left" w:pos="1108"/>
              </w:tabs>
              <w:ind w:left="135" w:right="83"/>
              <w:jc w:val="both"/>
              <w:rPr>
                <w:rFonts w:cs="Times New Roman"/>
                <w:szCs w:val="24"/>
              </w:rPr>
            </w:pPr>
            <w:r w:rsidRPr="00050CBC">
              <w:rPr>
                <w:rFonts w:cs="Times New Roman"/>
                <w:szCs w:val="24"/>
              </w:rPr>
              <w:t>2.</w:t>
            </w:r>
            <w:r w:rsidR="002F1FD1">
              <w:rPr>
                <w:rFonts w:cs="Times New Roman"/>
                <w:szCs w:val="24"/>
              </w:rPr>
              <w:t>1</w:t>
            </w:r>
            <w:r w:rsidRPr="00050CBC">
              <w:rPr>
                <w:rFonts w:cs="Times New Roman"/>
                <w:szCs w:val="24"/>
              </w:rPr>
              <w:t>.</w:t>
            </w:r>
            <w:r w:rsidR="002F1FD1">
              <w:rPr>
                <w:rFonts w:cs="Times New Roman"/>
                <w:szCs w:val="24"/>
              </w:rPr>
              <w:t>6</w:t>
            </w:r>
            <w:r w:rsidRPr="00050CBC">
              <w:rPr>
                <w:rFonts w:cs="Times New Roman"/>
                <w:szCs w:val="24"/>
              </w:rPr>
              <w:t>.3. Raušanas pretestība perpendikulāri šķiedras virzienam ir ne mazāka par 3,25 mN;</w:t>
            </w:r>
          </w:p>
        </w:tc>
        <w:tc>
          <w:tcPr>
            <w:tcW w:w="659" w:type="pct"/>
          </w:tcPr>
          <w:p w14:paraId="222DEF4E"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0577C605" w14:textId="77777777" w:rsidTr="002F1FD1">
        <w:trPr>
          <w:trHeight w:val="310"/>
        </w:trPr>
        <w:tc>
          <w:tcPr>
            <w:tcW w:w="434" w:type="pct"/>
            <w:vMerge/>
            <w:vAlign w:val="center"/>
          </w:tcPr>
          <w:p w14:paraId="08C00014" w14:textId="77777777" w:rsidR="009C6C50" w:rsidRPr="002F1FD1" w:rsidRDefault="009C6C50" w:rsidP="00014325">
            <w:pPr>
              <w:pStyle w:val="ListParagraph"/>
              <w:rPr>
                <w:rFonts w:eastAsia="Times New Roman" w:cs="Times New Roman"/>
                <w:b/>
                <w:szCs w:val="24"/>
                <w:lang w:eastAsia="lv-LV"/>
              </w:rPr>
            </w:pPr>
          </w:p>
        </w:tc>
        <w:tc>
          <w:tcPr>
            <w:tcW w:w="3907" w:type="pct"/>
            <w:tcBorders>
              <w:top w:val="single" w:sz="4" w:space="0" w:color="auto"/>
            </w:tcBorders>
          </w:tcPr>
          <w:p w14:paraId="48CFA7CD" w14:textId="2EC38CD4" w:rsidR="009C6C50" w:rsidRPr="00050CBC" w:rsidRDefault="009C6C50" w:rsidP="009C6C50">
            <w:pPr>
              <w:tabs>
                <w:tab w:val="left" w:pos="1108"/>
              </w:tabs>
              <w:ind w:left="135" w:right="83"/>
              <w:jc w:val="both"/>
              <w:rPr>
                <w:rFonts w:cs="Times New Roman"/>
                <w:szCs w:val="24"/>
              </w:rPr>
            </w:pPr>
            <w:r w:rsidRPr="00050CBC">
              <w:rPr>
                <w:rFonts w:cs="Times New Roman"/>
                <w:szCs w:val="24"/>
              </w:rPr>
              <w:t>2.</w:t>
            </w:r>
            <w:r w:rsidR="002F1FD1">
              <w:rPr>
                <w:rFonts w:cs="Times New Roman"/>
                <w:szCs w:val="24"/>
              </w:rPr>
              <w:t>1</w:t>
            </w:r>
            <w:r w:rsidRPr="00050CBC">
              <w:rPr>
                <w:rFonts w:cs="Times New Roman"/>
                <w:szCs w:val="24"/>
              </w:rPr>
              <w:t>.</w:t>
            </w:r>
            <w:r w:rsidR="002F1FD1">
              <w:rPr>
                <w:rFonts w:cs="Times New Roman"/>
                <w:szCs w:val="24"/>
              </w:rPr>
              <w:t>6</w:t>
            </w:r>
            <w:r w:rsidRPr="00050CBC">
              <w:rPr>
                <w:rFonts w:cs="Times New Roman"/>
                <w:szCs w:val="24"/>
              </w:rPr>
              <w:t>.4. Šķiedras savstarpējās salīmēšanās izturība  ne mazāk kā 135 N;</w:t>
            </w:r>
          </w:p>
        </w:tc>
        <w:tc>
          <w:tcPr>
            <w:tcW w:w="659" w:type="pct"/>
          </w:tcPr>
          <w:p w14:paraId="61654793"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2B04E875" w14:textId="77777777" w:rsidTr="002F1FD1">
        <w:trPr>
          <w:trHeight w:val="310"/>
        </w:trPr>
        <w:tc>
          <w:tcPr>
            <w:tcW w:w="434" w:type="pct"/>
            <w:vMerge/>
            <w:vAlign w:val="center"/>
          </w:tcPr>
          <w:p w14:paraId="7706ECA8" w14:textId="77777777" w:rsidR="009C6C50" w:rsidRPr="002F1FD1" w:rsidRDefault="009C6C50" w:rsidP="00014325">
            <w:pPr>
              <w:pStyle w:val="ListParagraph"/>
              <w:rPr>
                <w:rFonts w:eastAsia="Times New Roman" w:cs="Times New Roman"/>
                <w:b/>
                <w:szCs w:val="24"/>
                <w:lang w:eastAsia="lv-LV"/>
              </w:rPr>
            </w:pPr>
          </w:p>
        </w:tc>
        <w:tc>
          <w:tcPr>
            <w:tcW w:w="3907" w:type="pct"/>
            <w:tcBorders>
              <w:top w:val="single" w:sz="4" w:space="0" w:color="auto"/>
            </w:tcBorders>
          </w:tcPr>
          <w:p w14:paraId="5FB1E290" w14:textId="3BC83FCB" w:rsidR="009C6C50" w:rsidRPr="00050CBC" w:rsidRDefault="009C6C50" w:rsidP="009C6C50">
            <w:pPr>
              <w:tabs>
                <w:tab w:val="left" w:pos="1108"/>
              </w:tabs>
              <w:ind w:left="135" w:right="83"/>
              <w:jc w:val="both"/>
              <w:rPr>
                <w:rFonts w:cs="Times New Roman"/>
                <w:szCs w:val="24"/>
              </w:rPr>
            </w:pPr>
            <w:r w:rsidRPr="00050CBC">
              <w:rPr>
                <w:rFonts w:cs="Times New Roman"/>
                <w:szCs w:val="24"/>
              </w:rPr>
              <w:t>2.</w:t>
            </w:r>
            <w:r w:rsidR="002F1FD1">
              <w:rPr>
                <w:rFonts w:cs="Times New Roman"/>
                <w:szCs w:val="24"/>
              </w:rPr>
              <w:t>1</w:t>
            </w:r>
            <w:r w:rsidRPr="00050CBC">
              <w:rPr>
                <w:rFonts w:cs="Times New Roman"/>
                <w:szCs w:val="24"/>
              </w:rPr>
              <w:t>.</w:t>
            </w:r>
            <w:r w:rsidR="002F1FD1">
              <w:rPr>
                <w:rFonts w:cs="Times New Roman"/>
                <w:szCs w:val="24"/>
              </w:rPr>
              <w:t>6</w:t>
            </w:r>
            <w:r w:rsidRPr="00050CBC">
              <w:rPr>
                <w:rFonts w:cs="Times New Roman"/>
                <w:szCs w:val="24"/>
              </w:rPr>
              <w:t>.5. Izturība uz daudzkārtējo lūzumu</w:t>
            </w:r>
            <w:r w:rsidR="00050CBC">
              <w:rPr>
                <w:rFonts w:cs="Times New Roman"/>
                <w:szCs w:val="24"/>
              </w:rPr>
              <w:t>,</w:t>
            </w:r>
            <w:r w:rsidRPr="00050CBC">
              <w:rPr>
                <w:rFonts w:cs="Times New Roman"/>
                <w:szCs w:val="24"/>
              </w:rPr>
              <w:t xml:space="preserve"> divkārtējs lūzuma skaits šķiedras pretējam virzienam vismaz 28 reizes;</w:t>
            </w:r>
          </w:p>
        </w:tc>
        <w:tc>
          <w:tcPr>
            <w:tcW w:w="659" w:type="pct"/>
          </w:tcPr>
          <w:p w14:paraId="464DA021"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7B9F2880" w14:textId="77777777" w:rsidTr="002F1FD1">
        <w:trPr>
          <w:trHeight w:val="310"/>
        </w:trPr>
        <w:tc>
          <w:tcPr>
            <w:tcW w:w="434" w:type="pct"/>
            <w:tcBorders>
              <w:top w:val="single" w:sz="4" w:space="0" w:color="auto"/>
            </w:tcBorders>
            <w:vAlign w:val="center"/>
          </w:tcPr>
          <w:p w14:paraId="2CD7D042" w14:textId="79A60F8D"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490806FD" w14:textId="5A7FC776" w:rsidR="002F1FD1" w:rsidRPr="00050CBC" w:rsidRDefault="002F1FD1" w:rsidP="009C6C50">
            <w:pPr>
              <w:tabs>
                <w:tab w:val="left" w:pos="1108"/>
              </w:tabs>
              <w:ind w:left="135" w:right="83"/>
              <w:jc w:val="both"/>
              <w:rPr>
                <w:rFonts w:eastAsia="Times New Roman" w:cs="Times New Roman"/>
                <w:b/>
                <w:bCs/>
                <w:szCs w:val="24"/>
                <w:lang w:eastAsia="lv-LV"/>
              </w:rPr>
            </w:pPr>
            <w:r w:rsidRPr="00050CBC">
              <w:rPr>
                <w:rFonts w:eastAsia="Times New Roman" w:cs="Times New Roman"/>
                <w:b/>
                <w:bCs/>
                <w:szCs w:val="24"/>
                <w:lang w:eastAsia="lv-LV"/>
              </w:rPr>
              <w:t>Krimināllietu vāki</w:t>
            </w:r>
            <w:r w:rsidR="00050CBC">
              <w:rPr>
                <w:rFonts w:eastAsia="Times New Roman" w:cs="Times New Roman"/>
                <w:b/>
                <w:bCs/>
                <w:szCs w:val="24"/>
                <w:lang w:eastAsia="lv-LV"/>
              </w:rPr>
              <w:t xml:space="preserve"> </w:t>
            </w:r>
            <w:r w:rsidR="00050CBC" w:rsidRPr="00515861">
              <w:rPr>
                <w:rFonts w:cs="Times New Roman"/>
                <w:b/>
                <w:szCs w:val="24"/>
              </w:rPr>
              <w:t>(A4 formāta)</w:t>
            </w:r>
          </w:p>
          <w:p w14:paraId="36C91E23" w14:textId="5BA44C17" w:rsidR="009C6C50" w:rsidRPr="00050CBC" w:rsidRDefault="009C6C50" w:rsidP="009C6C50">
            <w:pPr>
              <w:tabs>
                <w:tab w:val="left" w:pos="1108"/>
              </w:tabs>
              <w:ind w:left="135" w:right="83"/>
              <w:jc w:val="both"/>
              <w:rPr>
                <w:rFonts w:eastAsia="Times New Roman" w:cs="Times New Roman"/>
                <w:b/>
                <w:bCs/>
                <w:szCs w:val="24"/>
                <w:lang w:eastAsia="lv-LV"/>
              </w:rPr>
            </w:pPr>
            <w:r w:rsidRPr="00050CBC">
              <w:rPr>
                <w:rFonts w:cs="Times New Roman"/>
                <w:b/>
                <w:bCs/>
                <w:noProof/>
                <w:szCs w:val="24"/>
              </w:rPr>
              <w:drawing>
                <wp:inline distT="0" distB="0" distL="0" distR="0" wp14:anchorId="40AC44C0" wp14:editId="730F5176">
                  <wp:extent cx="1285875" cy="171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4420" cy="1727454"/>
                          </a:xfrm>
                          <a:prstGeom prst="rect">
                            <a:avLst/>
                          </a:prstGeom>
                          <a:noFill/>
                        </pic:spPr>
                      </pic:pic>
                    </a:graphicData>
                  </a:graphic>
                </wp:inline>
              </w:drawing>
            </w:r>
          </w:p>
          <w:p w14:paraId="6E5D4CC4" w14:textId="5BE9B6EE" w:rsidR="009C6C50" w:rsidRPr="002F1FD1" w:rsidRDefault="009C6C50" w:rsidP="009C6C50">
            <w:pPr>
              <w:tabs>
                <w:tab w:val="left" w:pos="1108"/>
              </w:tabs>
              <w:ind w:left="135" w:right="83"/>
              <w:jc w:val="both"/>
              <w:rPr>
                <w:rFonts w:eastAsia="Times New Roman" w:cs="Times New Roman"/>
                <w:szCs w:val="24"/>
                <w:lang w:eastAsia="lv-LV"/>
              </w:rPr>
            </w:pPr>
            <w:r w:rsidRPr="002F1FD1">
              <w:rPr>
                <w:rFonts w:eastAsia="Times New Roman" w:cs="Times New Roman"/>
                <w:szCs w:val="24"/>
                <w:lang w:eastAsia="lv-LV"/>
              </w:rPr>
              <w:t>*</w:t>
            </w:r>
            <w:r w:rsidRPr="00050CBC">
              <w:rPr>
                <w:rFonts w:cs="Times New Roman"/>
                <w:i/>
                <w:szCs w:val="24"/>
              </w:rPr>
              <w:t xml:space="preserve"> Attēlam ilustratīvs raksturs</w:t>
            </w:r>
          </w:p>
        </w:tc>
        <w:tc>
          <w:tcPr>
            <w:tcW w:w="659" w:type="pct"/>
          </w:tcPr>
          <w:p w14:paraId="0C56DE69"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5D28C346" w14:textId="77777777" w:rsidTr="002F1FD1">
        <w:trPr>
          <w:trHeight w:val="310"/>
        </w:trPr>
        <w:tc>
          <w:tcPr>
            <w:tcW w:w="434" w:type="pct"/>
            <w:tcBorders>
              <w:top w:val="single" w:sz="4" w:space="0" w:color="auto"/>
            </w:tcBorders>
            <w:vAlign w:val="center"/>
          </w:tcPr>
          <w:p w14:paraId="23E1A5D8" w14:textId="72AF84FD"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2A42650" w14:textId="29EBAF6D"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 xml:space="preserve">Izmēri: </w:t>
            </w:r>
            <w:r w:rsidRPr="00E31CBA">
              <w:rPr>
                <w:rFonts w:cs="Times New Roman"/>
                <w:szCs w:val="24"/>
              </w:rPr>
              <w:t>500 x 330 mm</w:t>
            </w:r>
            <w:r w:rsidR="006F2AAC" w:rsidRPr="00E31CBA">
              <w:rPr>
                <w:rFonts w:cs="Times New Roman"/>
                <w:szCs w:val="24"/>
              </w:rPr>
              <w:t>.</w:t>
            </w:r>
          </w:p>
        </w:tc>
        <w:tc>
          <w:tcPr>
            <w:tcW w:w="659" w:type="pct"/>
          </w:tcPr>
          <w:p w14:paraId="0E5E928C"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1E3B1AA8" w14:textId="77777777" w:rsidTr="002F1FD1">
        <w:trPr>
          <w:trHeight w:val="310"/>
        </w:trPr>
        <w:tc>
          <w:tcPr>
            <w:tcW w:w="434" w:type="pct"/>
            <w:tcBorders>
              <w:top w:val="single" w:sz="4" w:space="0" w:color="auto"/>
            </w:tcBorders>
            <w:vAlign w:val="center"/>
          </w:tcPr>
          <w:p w14:paraId="7FD83A07" w14:textId="23F139ED"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5372A70" w14:textId="51B59F5F"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1 m</w:t>
            </w:r>
            <w:r w:rsidRPr="00050CBC">
              <w:rPr>
                <w:rFonts w:cs="Times New Roman"/>
                <w:szCs w:val="24"/>
                <w:vertAlign w:val="superscript"/>
              </w:rPr>
              <w:t>2</w:t>
            </w:r>
            <w:r w:rsidRPr="00050CBC">
              <w:rPr>
                <w:rFonts w:cs="Times New Roman"/>
                <w:szCs w:val="24"/>
              </w:rPr>
              <w:t xml:space="preserve"> svars: 280 g/m</w:t>
            </w:r>
            <w:r w:rsidRPr="00050CBC">
              <w:rPr>
                <w:rFonts w:cs="Times New Roman"/>
                <w:szCs w:val="24"/>
                <w:vertAlign w:val="superscript"/>
              </w:rPr>
              <w:t>2</w:t>
            </w:r>
            <w:r w:rsidRPr="00050CBC">
              <w:rPr>
                <w:rFonts w:cs="Times New Roman"/>
                <w:szCs w:val="24"/>
              </w:rPr>
              <w:t xml:space="preserve"> kartons vidū pārlokāms</w:t>
            </w:r>
            <w:r w:rsidR="006F2AAC">
              <w:rPr>
                <w:rFonts w:cs="Times New Roman"/>
                <w:szCs w:val="24"/>
              </w:rPr>
              <w:t>.</w:t>
            </w:r>
          </w:p>
        </w:tc>
        <w:tc>
          <w:tcPr>
            <w:tcW w:w="659" w:type="pct"/>
          </w:tcPr>
          <w:p w14:paraId="5063C2F5"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11871228" w14:textId="77777777" w:rsidTr="002F1FD1">
        <w:trPr>
          <w:trHeight w:val="310"/>
        </w:trPr>
        <w:tc>
          <w:tcPr>
            <w:tcW w:w="434" w:type="pct"/>
            <w:tcBorders>
              <w:top w:val="single" w:sz="4" w:space="0" w:color="auto"/>
            </w:tcBorders>
            <w:vAlign w:val="center"/>
          </w:tcPr>
          <w:p w14:paraId="715195FB" w14:textId="77777777"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61F3AC1A" w14:textId="3FAFD0E2"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Materiāls: Gluds kartons</w:t>
            </w:r>
            <w:r w:rsidR="006F2AAC">
              <w:rPr>
                <w:rFonts w:cs="Times New Roman"/>
                <w:szCs w:val="24"/>
              </w:rPr>
              <w:t>.</w:t>
            </w:r>
          </w:p>
        </w:tc>
        <w:tc>
          <w:tcPr>
            <w:tcW w:w="659" w:type="pct"/>
          </w:tcPr>
          <w:p w14:paraId="5C1E4D44"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43BE5E04" w14:textId="77777777" w:rsidTr="002F1FD1">
        <w:trPr>
          <w:trHeight w:val="310"/>
        </w:trPr>
        <w:tc>
          <w:tcPr>
            <w:tcW w:w="434" w:type="pct"/>
            <w:tcBorders>
              <w:top w:val="single" w:sz="4" w:space="0" w:color="auto"/>
            </w:tcBorders>
            <w:vAlign w:val="center"/>
          </w:tcPr>
          <w:p w14:paraId="4D21E155" w14:textId="77777777"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7CE53F2" w14:textId="67D4E896"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Locīšanas veids: Ar 3 rievojumiem</w:t>
            </w:r>
            <w:r w:rsidR="006F2AAC">
              <w:rPr>
                <w:rFonts w:cs="Times New Roman"/>
                <w:szCs w:val="24"/>
              </w:rPr>
              <w:t>.</w:t>
            </w:r>
          </w:p>
        </w:tc>
        <w:tc>
          <w:tcPr>
            <w:tcW w:w="659" w:type="pct"/>
          </w:tcPr>
          <w:p w14:paraId="31772B21"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301E7D8D" w14:textId="77777777" w:rsidTr="002F1FD1">
        <w:trPr>
          <w:trHeight w:val="310"/>
        </w:trPr>
        <w:tc>
          <w:tcPr>
            <w:tcW w:w="434" w:type="pct"/>
            <w:tcBorders>
              <w:top w:val="single" w:sz="4" w:space="0" w:color="auto"/>
            </w:tcBorders>
            <w:vAlign w:val="center"/>
          </w:tcPr>
          <w:p w14:paraId="61AFAA76" w14:textId="77777777"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B2B4B02" w14:textId="56ED51FB"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Apdruka: 1+0</w:t>
            </w:r>
            <w:r w:rsidR="006F2AAC">
              <w:rPr>
                <w:rFonts w:cs="Times New Roman"/>
                <w:szCs w:val="24"/>
              </w:rPr>
              <w:t>.</w:t>
            </w:r>
          </w:p>
        </w:tc>
        <w:tc>
          <w:tcPr>
            <w:tcW w:w="659" w:type="pct"/>
          </w:tcPr>
          <w:p w14:paraId="36E952E9"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291E498D" w14:textId="77777777" w:rsidTr="002F1FD1">
        <w:trPr>
          <w:trHeight w:val="310"/>
        </w:trPr>
        <w:tc>
          <w:tcPr>
            <w:tcW w:w="434" w:type="pct"/>
            <w:tcBorders>
              <w:top w:val="single" w:sz="4" w:space="0" w:color="auto"/>
            </w:tcBorders>
            <w:vAlign w:val="center"/>
          </w:tcPr>
          <w:p w14:paraId="2EAFC01C" w14:textId="77777777"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769BD67" w14:textId="696EE8E4"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szCs w:val="24"/>
              </w:rPr>
              <w:t>Sānu ietilpība:  Vismaz 250 loksnes</w:t>
            </w:r>
            <w:r w:rsidR="006F2AAC">
              <w:rPr>
                <w:rFonts w:cs="Times New Roman"/>
                <w:szCs w:val="24"/>
              </w:rPr>
              <w:t>.</w:t>
            </w:r>
          </w:p>
        </w:tc>
        <w:tc>
          <w:tcPr>
            <w:tcW w:w="659" w:type="pct"/>
          </w:tcPr>
          <w:p w14:paraId="1E93D9FC"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00AB9889" w14:textId="77777777" w:rsidTr="002F1FD1">
        <w:trPr>
          <w:trHeight w:val="310"/>
        </w:trPr>
        <w:tc>
          <w:tcPr>
            <w:tcW w:w="434" w:type="pct"/>
            <w:tcBorders>
              <w:top w:val="single" w:sz="4" w:space="0" w:color="auto"/>
            </w:tcBorders>
            <w:vAlign w:val="center"/>
          </w:tcPr>
          <w:p w14:paraId="33ADEB08" w14:textId="77777777"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0AB85BDA" w14:textId="5EE96372" w:rsidR="009C6C50" w:rsidRPr="00050CBC" w:rsidRDefault="009C6C50" w:rsidP="00014325">
            <w:pPr>
              <w:tabs>
                <w:tab w:val="left" w:pos="1108"/>
              </w:tabs>
              <w:ind w:left="135" w:right="83"/>
              <w:jc w:val="both"/>
              <w:rPr>
                <w:rFonts w:cs="Times New Roman"/>
                <w:szCs w:val="24"/>
              </w:rPr>
            </w:pPr>
            <w:r w:rsidRPr="00050CBC">
              <w:rPr>
                <w:rFonts w:cs="Times New Roman"/>
                <w:szCs w:val="24"/>
              </w:rPr>
              <w:t>Preces veidu izgatavošana:</w:t>
            </w:r>
          </w:p>
          <w:p w14:paraId="5DA8777C" w14:textId="7A63B867" w:rsidR="009C6C50" w:rsidRPr="00050CBC" w:rsidRDefault="00014325" w:rsidP="00050CBC">
            <w:pPr>
              <w:tabs>
                <w:tab w:val="left" w:pos="1108"/>
              </w:tabs>
              <w:ind w:left="135" w:right="83"/>
              <w:jc w:val="both"/>
              <w:rPr>
                <w:rFonts w:cs="Times New Roman"/>
                <w:szCs w:val="24"/>
              </w:rPr>
            </w:pPr>
            <w:r w:rsidRPr="00050CBC">
              <w:rPr>
                <w:rFonts w:cs="Times New Roman"/>
                <w:szCs w:val="24"/>
              </w:rPr>
              <w:t xml:space="preserve">3.8.1. </w:t>
            </w:r>
            <w:r w:rsidR="009C6C50" w:rsidRPr="00050CBC">
              <w:rPr>
                <w:rFonts w:cs="Times New Roman"/>
                <w:szCs w:val="24"/>
              </w:rPr>
              <w:t>Stingri kartona vāki arhīva lietu iešūšanai;</w:t>
            </w:r>
          </w:p>
          <w:p w14:paraId="22FCC037" w14:textId="6EB2E596" w:rsidR="009C6C50" w:rsidRPr="00050CBC" w:rsidRDefault="00014325" w:rsidP="00050CBC">
            <w:pPr>
              <w:tabs>
                <w:tab w:val="left" w:pos="1108"/>
              </w:tabs>
              <w:ind w:left="135" w:right="83"/>
              <w:jc w:val="both"/>
              <w:rPr>
                <w:rFonts w:cs="Times New Roman"/>
                <w:szCs w:val="24"/>
              </w:rPr>
            </w:pPr>
            <w:r w:rsidRPr="00050CBC">
              <w:rPr>
                <w:rFonts w:cs="Times New Roman"/>
                <w:szCs w:val="24"/>
              </w:rPr>
              <w:t xml:space="preserve">3.8.2. </w:t>
            </w:r>
            <w:r w:rsidR="009C6C50" w:rsidRPr="00050CBC">
              <w:rPr>
                <w:rFonts w:cs="Times New Roman"/>
                <w:szCs w:val="24"/>
              </w:rPr>
              <w:t>Krimināllietu vāki – kriminālprocesa uzsākšanai;</w:t>
            </w:r>
          </w:p>
          <w:p w14:paraId="321E7171" w14:textId="19B14BF9" w:rsidR="009C6C50" w:rsidRPr="002F1FD1" w:rsidRDefault="00014325" w:rsidP="009C6C50">
            <w:pPr>
              <w:tabs>
                <w:tab w:val="left" w:pos="1108"/>
              </w:tabs>
              <w:ind w:left="135" w:right="83"/>
              <w:jc w:val="both"/>
              <w:rPr>
                <w:rFonts w:eastAsia="Times New Roman" w:cs="Times New Roman"/>
                <w:szCs w:val="24"/>
                <w:lang w:eastAsia="lv-LV"/>
              </w:rPr>
            </w:pPr>
            <w:r w:rsidRPr="00050CBC">
              <w:rPr>
                <w:rFonts w:cs="Times New Roman"/>
                <w:szCs w:val="24"/>
              </w:rPr>
              <w:t xml:space="preserve">3.8.3. </w:t>
            </w:r>
            <w:r w:rsidR="009C6C50" w:rsidRPr="00050CBC">
              <w:rPr>
                <w:rFonts w:cs="Times New Roman"/>
                <w:szCs w:val="24"/>
              </w:rPr>
              <w:t>Krimināllietu vāki - par atteikšanos uzsākt kriminālprocesu.</w:t>
            </w:r>
          </w:p>
        </w:tc>
        <w:tc>
          <w:tcPr>
            <w:tcW w:w="659" w:type="pct"/>
          </w:tcPr>
          <w:p w14:paraId="54F2C63B" w14:textId="77777777" w:rsidR="009C6C50" w:rsidRPr="002F1FD1" w:rsidRDefault="009C6C50" w:rsidP="009C6C50">
            <w:pPr>
              <w:ind w:left="148" w:right="126"/>
              <w:jc w:val="both"/>
              <w:rPr>
                <w:rFonts w:eastAsia="Times New Roman" w:cs="Times New Roman"/>
                <w:szCs w:val="24"/>
                <w:lang w:eastAsia="lv-LV"/>
              </w:rPr>
            </w:pPr>
          </w:p>
        </w:tc>
      </w:tr>
      <w:tr w:rsidR="009C6C50" w:rsidRPr="002F1FD1" w14:paraId="2B0600D1" w14:textId="77777777" w:rsidTr="002F1FD1">
        <w:trPr>
          <w:trHeight w:val="310"/>
        </w:trPr>
        <w:tc>
          <w:tcPr>
            <w:tcW w:w="434" w:type="pct"/>
            <w:tcBorders>
              <w:top w:val="single" w:sz="4" w:space="0" w:color="auto"/>
            </w:tcBorders>
            <w:vAlign w:val="center"/>
          </w:tcPr>
          <w:p w14:paraId="42ED0CD5" w14:textId="77777777" w:rsidR="009C6C50" w:rsidRPr="002F1FD1" w:rsidRDefault="009C6C50" w:rsidP="009C6C50">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1B1224AB" w14:textId="64F6CA85" w:rsidR="009C6C50" w:rsidRPr="002F1FD1" w:rsidRDefault="009C6C50" w:rsidP="009C6C50">
            <w:pPr>
              <w:tabs>
                <w:tab w:val="left" w:pos="1108"/>
              </w:tabs>
              <w:ind w:left="135" w:right="83"/>
              <w:jc w:val="both"/>
              <w:rPr>
                <w:rFonts w:eastAsia="Times New Roman" w:cs="Times New Roman"/>
                <w:szCs w:val="24"/>
                <w:lang w:eastAsia="lv-LV"/>
              </w:rPr>
            </w:pPr>
            <w:r w:rsidRPr="00050CBC">
              <w:rPr>
                <w:rFonts w:cs="Times New Roman"/>
                <w:b/>
                <w:szCs w:val="24"/>
              </w:rPr>
              <w:t>VID grafiskā identitāte:</w:t>
            </w:r>
            <w:r w:rsidRPr="00050CBC">
              <w:rPr>
                <w:rFonts w:cs="Times New Roman"/>
                <w:szCs w:val="24"/>
              </w:rPr>
              <w:t xml:space="preserve"> Pretendents apņemas ievērot “Valsts pārvaldes iestāžu vienoto vizuālās identitātes Grafisko standartu”. Ar vadlīnijām iespējams iepazīties Ministru kabineta mājaslapā, sadaļā Grafiskais standarts </w:t>
            </w:r>
            <w:hyperlink r:id="rId14" w:history="1">
              <w:r w:rsidRPr="00050CBC">
                <w:rPr>
                  <w:rStyle w:val="Hyperlink"/>
                  <w:rFonts w:cs="Times New Roman"/>
                  <w:szCs w:val="24"/>
                </w:rPr>
                <w:t>http://www.mk.gov.lv/lv/content/grafiskais-standarts</w:t>
              </w:r>
            </w:hyperlink>
          </w:p>
        </w:tc>
        <w:tc>
          <w:tcPr>
            <w:tcW w:w="659" w:type="pct"/>
          </w:tcPr>
          <w:p w14:paraId="22156D12" w14:textId="77777777" w:rsidR="009C6C50" w:rsidRPr="002F1FD1" w:rsidRDefault="009C6C50" w:rsidP="009C6C50">
            <w:pPr>
              <w:ind w:left="148" w:right="126"/>
              <w:jc w:val="both"/>
              <w:rPr>
                <w:rFonts w:eastAsia="Times New Roman" w:cs="Times New Roman"/>
                <w:szCs w:val="24"/>
                <w:lang w:eastAsia="lv-LV"/>
              </w:rPr>
            </w:pPr>
          </w:p>
        </w:tc>
      </w:tr>
      <w:tr w:rsidR="00BA680F" w:rsidRPr="002F1FD1" w14:paraId="55BB4C9A"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BA680F" w:rsidRPr="002F1FD1" w:rsidRDefault="00BA680F" w:rsidP="00BA680F">
            <w:pPr>
              <w:pStyle w:val="ListParagraph"/>
              <w:numPr>
                <w:ilvl w:val="0"/>
                <w:numId w:val="32"/>
              </w:numPr>
              <w:ind w:hanging="578"/>
              <w:rPr>
                <w:rFonts w:eastAsia="Times New Roman" w:cs="Times New Roman"/>
                <w:b/>
                <w:szCs w:val="24"/>
                <w:lang w:eastAsia="lv-LV"/>
              </w:rPr>
            </w:pPr>
          </w:p>
        </w:tc>
        <w:tc>
          <w:tcPr>
            <w:tcW w:w="4566"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4468BB5" w:rsidR="00BA680F" w:rsidRPr="002F1FD1" w:rsidRDefault="00BA680F" w:rsidP="00BA680F">
            <w:pPr>
              <w:jc w:val="center"/>
              <w:rPr>
                <w:rFonts w:cs="Times New Roman"/>
                <w:b/>
                <w:iCs/>
                <w:szCs w:val="24"/>
              </w:rPr>
            </w:pPr>
            <w:r w:rsidRPr="002F1FD1">
              <w:rPr>
                <w:rFonts w:cs="Times New Roman"/>
                <w:b/>
                <w:iCs/>
                <w:szCs w:val="24"/>
              </w:rPr>
              <w:t>Preces pasūtīšanas un piegādes kārtība</w:t>
            </w:r>
          </w:p>
        </w:tc>
      </w:tr>
      <w:tr w:rsidR="00BA680F" w:rsidRPr="002F1FD1" w14:paraId="6F0C3FE6" w14:textId="77777777" w:rsidTr="002F1FD1">
        <w:trPr>
          <w:trHeight w:val="310"/>
        </w:trPr>
        <w:tc>
          <w:tcPr>
            <w:tcW w:w="434" w:type="pct"/>
            <w:tcBorders>
              <w:top w:val="single" w:sz="4" w:space="0" w:color="auto"/>
            </w:tcBorders>
            <w:vAlign w:val="center"/>
          </w:tcPr>
          <w:p w14:paraId="0D7693E7" w14:textId="7EA9C2C3"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72A8B694" w14:textId="77777777" w:rsidR="00BA680F" w:rsidRPr="00050CBC" w:rsidRDefault="00BA680F" w:rsidP="00BA680F">
            <w:pPr>
              <w:tabs>
                <w:tab w:val="left" w:pos="1108"/>
              </w:tabs>
              <w:ind w:left="135" w:right="83"/>
              <w:jc w:val="both"/>
              <w:rPr>
                <w:rFonts w:cs="Times New Roman"/>
                <w:szCs w:val="24"/>
              </w:rPr>
            </w:pPr>
            <w:r w:rsidRPr="00050CBC">
              <w:rPr>
                <w:rFonts w:cs="Times New Roman"/>
                <w:szCs w:val="24"/>
              </w:rPr>
              <w:t xml:space="preserve">Preces maketa izgatavošanas pieteikšana:  </w:t>
            </w:r>
          </w:p>
          <w:p w14:paraId="1914C43C" w14:textId="4D7133C4"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Pasūtītāja pilnvarotā persona nosūta pieteikumu par Preces maketa sagatavošanu vai jau esošā darba formātā nosūtītā (vektorizētā) maketa koriģēšanu atbilstoši paredzētajai drukas tehnoloģijai uz pretendenta norādīto elektroniskā pasta adresi, norādot Preces izgatavošanai nepieciešamo informāciju (Preces veidu, tekstu, izgatavojamo daudzumu, piegādes adresi u.c. informāciju).</w:t>
            </w:r>
          </w:p>
        </w:tc>
        <w:tc>
          <w:tcPr>
            <w:tcW w:w="659" w:type="pct"/>
          </w:tcPr>
          <w:p w14:paraId="4CB8F7EE"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107F864C" w14:textId="77777777" w:rsidTr="002F1FD1">
        <w:trPr>
          <w:trHeight w:val="310"/>
        </w:trPr>
        <w:tc>
          <w:tcPr>
            <w:tcW w:w="434" w:type="pct"/>
            <w:tcBorders>
              <w:top w:val="single" w:sz="4" w:space="0" w:color="auto"/>
            </w:tcBorders>
            <w:vAlign w:val="center"/>
          </w:tcPr>
          <w:p w14:paraId="43FC3D9C" w14:textId="51A1BAD5"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0ADBC48B" w14:textId="77777777" w:rsidR="00BA680F" w:rsidRPr="00050CBC" w:rsidRDefault="00BA680F" w:rsidP="00BA680F">
            <w:pPr>
              <w:tabs>
                <w:tab w:val="left" w:pos="1108"/>
              </w:tabs>
              <w:ind w:left="135" w:right="83"/>
              <w:jc w:val="both"/>
              <w:rPr>
                <w:rFonts w:cs="Times New Roman"/>
                <w:szCs w:val="24"/>
              </w:rPr>
            </w:pPr>
            <w:r w:rsidRPr="00050CBC">
              <w:rPr>
                <w:rFonts w:cs="Times New Roman"/>
                <w:szCs w:val="24"/>
              </w:rPr>
              <w:t xml:space="preserve">Maketa iesniegšanas termiņš: </w:t>
            </w:r>
          </w:p>
          <w:p w14:paraId="3ED4689B" w14:textId="68941C62" w:rsidR="00BA680F" w:rsidRPr="002F1FD1" w:rsidRDefault="000017D7" w:rsidP="00BA680F">
            <w:pPr>
              <w:tabs>
                <w:tab w:val="left" w:pos="1108"/>
              </w:tabs>
              <w:ind w:left="135" w:right="83"/>
              <w:jc w:val="both"/>
              <w:rPr>
                <w:rFonts w:eastAsia="Times New Roman" w:cs="Times New Roman"/>
                <w:szCs w:val="24"/>
                <w:lang w:eastAsia="lv-LV"/>
              </w:rPr>
            </w:pPr>
            <w:r w:rsidRPr="00E31CBA">
              <w:rPr>
                <w:rFonts w:cs="Times New Roman"/>
                <w:szCs w:val="24"/>
              </w:rPr>
              <w:t>2</w:t>
            </w:r>
            <w:r w:rsidR="00BA680F" w:rsidRPr="00E31CBA">
              <w:rPr>
                <w:rFonts w:cs="Times New Roman"/>
                <w:szCs w:val="24"/>
              </w:rPr>
              <w:t xml:space="preserve"> (</w:t>
            </w:r>
            <w:r w:rsidRPr="00E31CBA">
              <w:rPr>
                <w:rFonts w:cs="Times New Roman"/>
                <w:szCs w:val="24"/>
              </w:rPr>
              <w:t>divu</w:t>
            </w:r>
            <w:r w:rsidR="00BA680F" w:rsidRPr="00E31CBA">
              <w:rPr>
                <w:rFonts w:cs="Times New Roman"/>
                <w:szCs w:val="24"/>
              </w:rPr>
              <w:t>) darba dien</w:t>
            </w:r>
            <w:r w:rsidRPr="00E31CBA">
              <w:rPr>
                <w:rFonts w:cs="Times New Roman"/>
                <w:szCs w:val="24"/>
              </w:rPr>
              <w:t>u</w:t>
            </w:r>
            <w:r w:rsidR="00BA680F" w:rsidRPr="00E31CBA">
              <w:rPr>
                <w:rFonts w:cs="Times New Roman"/>
                <w:szCs w:val="24"/>
              </w:rPr>
              <w:t xml:space="preserve"> laikā</w:t>
            </w:r>
            <w:r w:rsidR="00BA680F" w:rsidRPr="00050CBC">
              <w:rPr>
                <w:rFonts w:cs="Times New Roman"/>
                <w:szCs w:val="24"/>
              </w:rPr>
              <w:t xml:space="preserve"> no Pasūtītāja pilnvarotās personas pieteikuma, kurā norāda  Preces veidu, tekstu, izgatavojamo daudzumu, piegādes adresi u.c. nepieciešamo informāciju, ja ir, tad Pasūtītāja pilnvarotā persona pievieno arī (vektorizētu) maketu,  nosūtīšanas dienas, Pretendents sagatavo un nosūta apstiprināšanai Preces (mapju) maketu uz Pasūtītāja pilnvarotās personas elektroniskā pasta adresi.</w:t>
            </w:r>
          </w:p>
        </w:tc>
        <w:tc>
          <w:tcPr>
            <w:tcW w:w="659" w:type="pct"/>
          </w:tcPr>
          <w:p w14:paraId="75BDE177"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2B498ABF" w14:textId="77777777" w:rsidTr="002F1FD1">
        <w:trPr>
          <w:trHeight w:val="310"/>
        </w:trPr>
        <w:tc>
          <w:tcPr>
            <w:tcW w:w="434" w:type="pct"/>
            <w:tcBorders>
              <w:top w:val="single" w:sz="4" w:space="0" w:color="auto"/>
            </w:tcBorders>
            <w:vAlign w:val="center"/>
          </w:tcPr>
          <w:p w14:paraId="074FD307" w14:textId="67CC2402"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1C5F569D" w14:textId="70DC45F3"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Pasūtītājs izskata un saskaņo Preces maketu vai arī nosūta uz Izpildītāja norādīto elektroniskā pasta adresi motivētu pretenziju ar nepieciešamajiem labojumiem.</w:t>
            </w:r>
          </w:p>
        </w:tc>
        <w:tc>
          <w:tcPr>
            <w:tcW w:w="659" w:type="pct"/>
          </w:tcPr>
          <w:p w14:paraId="108A78D0"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126959B8" w14:textId="77777777" w:rsidTr="002F1FD1">
        <w:trPr>
          <w:trHeight w:val="310"/>
        </w:trPr>
        <w:tc>
          <w:tcPr>
            <w:tcW w:w="434" w:type="pct"/>
            <w:tcBorders>
              <w:top w:val="single" w:sz="4" w:space="0" w:color="auto"/>
            </w:tcBorders>
            <w:vAlign w:val="center"/>
          </w:tcPr>
          <w:p w14:paraId="4AF7B016"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4D745FFB" w14:textId="77777777" w:rsidR="00BA680F" w:rsidRPr="00050CBC" w:rsidRDefault="00BA680F" w:rsidP="00BA680F">
            <w:pPr>
              <w:pStyle w:val="Default"/>
              <w:ind w:left="108" w:right="138"/>
              <w:jc w:val="both"/>
            </w:pPr>
            <w:r w:rsidRPr="00050CBC">
              <w:t>Labojumu veikšanas termiņš:</w:t>
            </w:r>
          </w:p>
          <w:p w14:paraId="1B2B09C5" w14:textId="0492FED2"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Pretendents ne vēlāk kā 3 (trīs) darba dienu laikā no Pasūtītāja pilnvarotās personas pretenzijas nosūtīšanas dienas veic Preces maketā nepieciešamos labojumus un nosūta precizēto Preces maketu  atkārtotai saskaņošanai Pasūtītāja pilnvarotajai personai uz elektroniskā pasta adresi.</w:t>
            </w:r>
          </w:p>
        </w:tc>
        <w:tc>
          <w:tcPr>
            <w:tcW w:w="659" w:type="pct"/>
          </w:tcPr>
          <w:p w14:paraId="5D2292DF"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6858CA8E" w14:textId="77777777" w:rsidTr="002F1FD1">
        <w:trPr>
          <w:trHeight w:val="310"/>
        </w:trPr>
        <w:tc>
          <w:tcPr>
            <w:tcW w:w="434" w:type="pct"/>
            <w:tcBorders>
              <w:top w:val="single" w:sz="4" w:space="0" w:color="auto"/>
            </w:tcBorders>
            <w:vAlign w:val="center"/>
          </w:tcPr>
          <w:p w14:paraId="2E4F1E70"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C4F6889" w14:textId="67FC6D16"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 xml:space="preserve">Pasūtītāja pilnvarotā persona sagatavo Preces pasūtījumu, kurā norāda piegādājamās Preces vienību veidu, skaitu un nosaukumu, cenu, </w:t>
            </w:r>
            <w:r w:rsidRPr="00E31CBA">
              <w:rPr>
                <w:rFonts w:cs="Times New Roman"/>
                <w:szCs w:val="24"/>
              </w:rPr>
              <w:t xml:space="preserve">Preces piegādes adresi </w:t>
            </w:r>
            <w:r w:rsidRPr="00720732">
              <w:rPr>
                <w:rFonts w:cs="Times New Roman"/>
                <w:szCs w:val="24"/>
              </w:rPr>
              <w:t>un vēlamo piegādes laiku un elektroniski to no</w:t>
            </w:r>
            <w:r w:rsidRPr="00050CBC">
              <w:rPr>
                <w:rFonts w:cs="Times New Roman"/>
                <w:szCs w:val="24"/>
              </w:rPr>
              <w:t>sūta Pretendenta pilnvarotajai personai uz elektroniskā pasta adresi.</w:t>
            </w:r>
          </w:p>
        </w:tc>
        <w:tc>
          <w:tcPr>
            <w:tcW w:w="659" w:type="pct"/>
          </w:tcPr>
          <w:p w14:paraId="7D6A0BEF"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537A0CC2" w14:textId="77777777" w:rsidTr="002F1FD1">
        <w:trPr>
          <w:trHeight w:val="310"/>
        </w:trPr>
        <w:tc>
          <w:tcPr>
            <w:tcW w:w="434" w:type="pct"/>
            <w:tcBorders>
              <w:top w:val="single" w:sz="4" w:space="0" w:color="auto"/>
            </w:tcBorders>
            <w:vAlign w:val="center"/>
          </w:tcPr>
          <w:p w14:paraId="4D5F1290"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9E5C297" w14:textId="77777777" w:rsidR="00BA680F" w:rsidRPr="00050CBC" w:rsidRDefault="00BA680F" w:rsidP="00BA680F">
            <w:pPr>
              <w:pStyle w:val="Default"/>
              <w:ind w:left="108" w:right="138"/>
              <w:jc w:val="both"/>
            </w:pPr>
            <w:r w:rsidRPr="00050CBC">
              <w:t>Pēc Preces maketa elektroniska saskaņojuma nosūtīšanas un Pasūtītāja pilnvarotās personas Preces pasūtījuma veikšanas brīža, Izpildītājs izgatavo un piegādā Preci šādos termiņos:</w:t>
            </w:r>
          </w:p>
          <w:p w14:paraId="6E66DAB1" w14:textId="77777777" w:rsidR="00BA680F" w:rsidRPr="00050CBC" w:rsidRDefault="00BA680F" w:rsidP="00BA680F">
            <w:pPr>
              <w:pStyle w:val="Default"/>
              <w:ind w:left="108" w:right="138"/>
              <w:jc w:val="both"/>
            </w:pPr>
            <w:r w:rsidRPr="00050CBC">
              <w:t xml:space="preserve">- 10 (desmit) darba dienu laikā, ja pasūtījums ir mazāks par 10 000 (desmit tūkstoši) gab.; </w:t>
            </w:r>
          </w:p>
          <w:p w14:paraId="7AE0AF35" w14:textId="77777777" w:rsidR="00BA680F" w:rsidRPr="00050CBC" w:rsidRDefault="00BA680F" w:rsidP="00BA680F">
            <w:pPr>
              <w:pStyle w:val="Default"/>
              <w:ind w:left="108" w:right="138"/>
              <w:jc w:val="both"/>
            </w:pPr>
            <w:r w:rsidRPr="00050CBC">
              <w:t>- 20 (divdesmit) darba dienu laikā, ja pasūtījums ir lielāks par 10 000 (desmit tūkstoši) gab.;</w:t>
            </w:r>
          </w:p>
          <w:p w14:paraId="18AE8EA6" w14:textId="77777777" w:rsidR="00BA680F" w:rsidRPr="00050CBC" w:rsidRDefault="00BA680F" w:rsidP="00BA680F">
            <w:pPr>
              <w:pStyle w:val="Default"/>
              <w:ind w:left="108" w:right="138"/>
              <w:jc w:val="both"/>
            </w:pPr>
            <w:r w:rsidRPr="00050CBC">
              <w:t>Prece tiek piegādāta atbilstošā iepakojumā ar norādi par tās saturu un daudzumu.</w:t>
            </w:r>
          </w:p>
          <w:p w14:paraId="5357F53A" w14:textId="7BA33CA9"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lastRenderedPageBreak/>
              <w:t>Līguma izpildes gaitā var tikt mainītas Preču piegādes adreses Rīgas pilsētas teritorijas robežās.</w:t>
            </w:r>
          </w:p>
        </w:tc>
        <w:tc>
          <w:tcPr>
            <w:tcW w:w="659" w:type="pct"/>
          </w:tcPr>
          <w:p w14:paraId="7067A6E2"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06029B7A" w14:textId="77777777" w:rsidTr="002F1FD1">
        <w:trPr>
          <w:trHeight w:val="310"/>
        </w:trPr>
        <w:tc>
          <w:tcPr>
            <w:tcW w:w="434" w:type="pct"/>
            <w:tcBorders>
              <w:top w:val="single" w:sz="4" w:space="0" w:color="auto"/>
            </w:tcBorders>
            <w:vAlign w:val="center"/>
          </w:tcPr>
          <w:p w14:paraId="46B14EC0"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1B26E93A" w14:textId="405B0EBD"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Piegādes laiks un vieta: Talejas iela 1, Rīgā, LV-1978, VID darba laikā (darba dienās no pirmdienas līdz ceturtdienai no plkst. 10:00 līdz 16:00; piektdienās no plkst. 10:00 līdz plkst.15:00) un Buļlu ielā 74, Rīgā, LV-1067 (darba dienās no pirmdienas līdz piektdienai no plkst.10:00 līdz plkst.16:00) iepriekš sazinoties ar Pasūtītāja pilnvaroto personu.</w:t>
            </w:r>
          </w:p>
        </w:tc>
        <w:tc>
          <w:tcPr>
            <w:tcW w:w="659" w:type="pct"/>
          </w:tcPr>
          <w:p w14:paraId="3ECE28DE"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0B7EB6AA" w14:textId="77777777" w:rsidTr="002F1FD1">
        <w:trPr>
          <w:trHeight w:val="310"/>
        </w:trPr>
        <w:tc>
          <w:tcPr>
            <w:tcW w:w="434" w:type="pct"/>
            <w:tcBorders>
              <w:top w:val="single" w:sz="4" w:space="0" w:color="auto"/>
            </w:tcBorders>
            <w:vAlign w:val="center"/>
          </w:tcPr>
          <w:p w14:paraId="6AEF2EA0"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74DC8F81" w14:textId="00513F82"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Pretendents par saviem līdzekļiem, izmantojot sev pieejamo darbaspēku un transportu, nodrošina kvalitatīvas, jaunas un līgumam atbilstošas Preces savlaicīgu piegādi atsevišķu piegāžu veidā uz Pasūtītāja norādīto piegādes vietu, atbilstoši Pasūtītāja pilnvarotās personas elektroniski nosūtītajam Preces pieteikumam.</w:t>
            </w:r>
          </w:p>
        </w:tc>
        <w:tc>
          <w:tcPr>
            <w:tcW w:w="659" w:type="pct"/>
          </w:tcPr>
          <w:p w14:paraId="4C7A50E8"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71D54D14" w14:textId="77777777" w:rsidTr="002F1FD1">
        <w:trPr>
          <w:trHeight w:val="310"/>
        </w:trPr>
        <w:tc>
          <w:tcPr>
            <w:tcW w:w="434" w:type="pct"/>
            <w:tcBorders>
              <w:top w:val="single" w:sz="4" w:space="0" w:color="auto"/>
            </w:tcBorders>
            <w:vAlign w:val="center"/>
          </w:tcPr>
          <w:p w14:paraId="19BAEA20"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32B4993B" w14:textId="47FDFF58"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Preces piegāde tiek uzskatīta par veiktu katras attiecīgās Preces piegādes pavadzīmes abpusējas parakstīšanas dienā.</w:t>
            </w:r>
          </w:p>
        </w:tc>
        <w:tc>
          <w:tcPr>
            <w:tcW w:w="659" w:type="pct"/>
          </w:tcPr>
          <w:p w14:paraId="55672A79"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20E7DF8F" w14:textId="77777777" w:rsidTr="002F1FD1">
        <w:trPr>
          <w:trHeight w:val="310"/>
        </w:trPr>
        <w:tc>
          <w:tcPr>
            <w:tcW w:w="434" w:type="pct"/>
            <w:tcBorders>
              <w:top w:val="single" w:sz="4" w:space="0" w:color="auto"/>
            </w:tcBorders>
            <w:vAlign w:val="center"/>
          </w:tcPr>
          <w:p w14:paraId="40245E8B"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4E4BBEFB" w14:textId="7C204E21"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 xml:space="preserve">Piegādes biežums: Arhīva lietu iešūšanai paredzēto vāku pasūtījums tiek veikts 1 (vienu) reizi </w:t>
            </w:r>
            <w:r w:rsidRPr="00444D33">
              <w:rPr>
                <w:rFonts w:cs="Times New Roman"/>
                <w:szCs w:val="24"/>
              </w:rPr>
              <w:t xml:space="preserve">gadā vismaz </w:t>
            </w:r>
            <w:r w:rsidR="00444D33" w:rsidRPr="00E31CBA">
              <w:rPr>
                <w:rFonts w:cs="Times New Roman"/>
                <w:szCs w:val="24"/>
              </w:rPr>
              <w:t>10</w:t>
            </w:r>
            <w:r w:rsidRPr="00444D33">
              <w:rPr>
                <w:rFonts w:cs="Times New Roman"/>
                <w:szCs w:val="24"/>
              </w:rPr>
              <w:t xml:space="preserve"> 000 </w:t>
            </w:r>
            <w:r w:rsidRPr="00050CBC">
              <w:rPr>
                <w:rFonts w:cs="Times New Roman"/>
                <w:szCs w:val="24"/>
              </w:rPr>
              <w:t>(desmit tūkstoši) gab. apjomā.</w:t>
            </w:r>
            <w:r w:rsidRPr="00050CBC">
              <w:rPr>
                <w:rFonts w:cs="Times New Roman"/>
                <w:szCs w:val="24"/>
              </w:rPr>
              <w:br/>
              <w:t>Krimināllietu vāku pasūtījums tiek veikts 1 (vienu) reizi pusgadā vismaz 500 (pieci simti) gab. apjomā.</w:t>
            </w:r>
          </w:p>
        </w:tc>
        <w:tc>
          <w:tcPr>
            <w:tcW w:w="659" w:type="pct"/>
          </w:tcPr>
          <w:p w14:paraId="4AEA7DC6"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5D431E19" w14:textId="77777777" w:rsidTr="002F1FD1">
        <w:trPr>
          <w:trHeight w:val="310"/>
        </w:trPr>
        <w:tc>
          <w:tcPr>
            <w:tcW w:w="434" w:type="pct"/>
            <w:tcBorders>
              <w:top w:val="single" w:sz="4" w:space="0" w:color="auto"/>
            </w:tcBorders>
            <w:vAlign w:val="center"/>
          </w:tcPr>
          <w:p w14:paraId="341610FA"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4D962933" w14:textId="1F4B0E61"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Pretendents nodrošina un veic piegādātās Preces izkraušanas darbu Preces piegādes vietā Pasūtītāja pilnvarotās personas norādītajās telpās.</w:t>
            </w:r>
          </w:p>
        </w:tc>
        <w:tc>
          <w:tcPr>
            <w:tcW w:w="659" w:type="pct"/>
          </w:tcPr>
          <w:p w14:paraId="14B77654"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623F6AD3" w14:textId="77777777" w:rsidTr="002F1FD1">
        <w:trPr>
          <w:trHeight w:val="310"/>
        </w:trPr>
        <w:tc>
          <w:tcPr>
            <w:tcW w:w="434" w:type="pct"/>
            <w:tcBorders>
              <w:top w:val="single" w:sz="4" w:space="0" w:color="auto"/>
            </w:tcBorders>
            <w:vAlign w:val="center"/>
          </w:tcPr>
          <w:p w14:paraId="1BB93BF0"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C3D291A" w14:textId="1D73599C"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Saņemot Preci, Pasūtītāja pilnvarotā persona pārbauda saņemtās preces atbilstību līguma nosacījumiem un nosūtītajam Preces pieteikumam, kā arī salīdzina pavadzīmē norādītās Preces vienību skaita atbilstību elektroniski nosūtītajā Preces pieteikumā norādītajam.</w:t>
            </w:r>
          </w:p>
        </w:tc>
        <w:tc>
          <w:tcPr>
            <w:tcW w:w="659" w:type="pct"/>
          </w:tcPr>
          <w:p w14:paraId="415E85CA"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333253A6" w14:textId="77777777" w:rsidTr="002F1FD1">
        <w:trPr>
          <w:trHeight w:val="310"/>
        </w:trPr>
        <w:tc>
          <w:tcPr>
            <w:tcW w:w="434" w:type="pct"/>
            <w:tcBorders>
              <w:top w:val="single" w:sz="4" w:space="0" w:color="auto"/>
            </w:tcBorders>
            <w:vAlign w:val="center"/>
          </w:tcPr>
          <w:p w14:paraId="6BF73688"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05F3DDBF" w14:textId="6D417C40"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Ja saņemtā Prece neatbilst līguma nosacījumiem un/vai  nosūtītajam Preces pieteikumam (kvantitātes u.c. neatbilstības), Pasūtītāja pilnvarotā persona piegādāto Preci nepieņem un pavadzīmi neparaksta, un 5 (piecu) darba dienu laikā no neatbilstošas Preces piegādes dienas nosūta Pretendenta pilnvarotajai personai uz  elektroniskā pasta adresi motivētu pretenziju. Pretendents par saviem līdzekļiem  bez papildus samaksas 5 (piecu) darba dienu laikā novērš pretenzijā norādītos Preces trūkumus, un nepieciešamības gadījumā to apmaina pret jaunu Preci.</w:t>
            </w:r>
          </w:p>
        </w:tc>
        <w:tc>
          <w:tcPr>
            <w:tcW w:w="659" w:type="pct"/>
          </w:tcPr>
          <w:p w14:paraId="778E8FDF"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0C40C420"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BA680F" w:rsidRPr="002F1FD1" w:rsidRDefault="00BA680F" w:rsidP="00BA680F">
            <w:pPr>
              <w:pStyle w:val="ListParagraph"/>
              <w:numPr>
                <w:ilvl w:val="0"/>
                <w:numId w:val="32"/>
              </w:numPr>
              <w:ind w:hanging="578"/>
              <w:rPr>
                <w:rFonts w:eastAsia="Times New Roman" w:cs="Times New Roman"/>
                <w:b/>
                <w:szCs w:val="24"/>
                <w:lang w:eastAsia="lv-LV"/>
              </w:rPr>
            </w:pPr>
          </w:p>
        </w:tc>
        <w:tc>
          <w:tcPr>
            <w:tcW w:w="4566"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3A98E84D" w:rsidR="00BA680F" w:rsidRPr="002F1FD1" w:rsidRDefault="00BA680F" w:rsidP="00BA680F">
            <w:pPr>
              <w:jc w:val="center"/>
              <w:rPr>
                <w:rFonts w:cs="Times New Roman"/>
                <w:b/>
                <w:szCs w:val="24"/>
              </w:rPr>
            </w:pPr>
            <w:r w:rsidRPr="002F1FD1">
              <w:rPr>
                <w:rFonts w:cs="Times New Roman"/>
                <w:b/>
                <w:iCs/>
                <w:szCs w:val="24"/>
              </w:rPr>
              <w:t xml:space="preserve">Preces </w:t>
            </w:r>
            <w:r w:rsidRPr="002F1FD1">
              <w:rPr>
                <w:rFonts w:cs="Times New Roman"/>
                <w:b/>
                <w:szCs w:val="24"/>
              </w:rPr>
              <w:t>garantija</w:t>
            </w:r>
          </w:p>
        </w:tc>
      </w:tr>
      <w:tr w:rsidR="00BA680F" w:rsidRPr="002F1FD1" w14:paraId="0522B8F4"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7A9C0" w14:textId="3A98E67B" w:rsidR="00BA680F" w:rsidRPr="002F1FD1" w:rsidRDefault="00BA680F" w:rsidP="00014325">
            <w:pPr>
              <w:rPr>
                <w:rFonts w:eastAsia="Times New Roman" w:cs="Times New Roman"/>
                <w:bCs/>
                <w:szCs w:val="24"/>
                <w:lang w:eastAsia="lv-LV"/>
              </w:rPr>
            </w:pPr>
            <w:r w:rsidRPr="002F1FD1">
              <w:rPr>
                <w:rFonts w:eastAsia="Times New Roman" w:cs="Times New Roman"/>
                <w:bCs/>
                <w:szCs w:val="24"/>
                <w:lang w:eastAsia="lv-LV"/>
              </w:rPr>
              <w:t xml:space="preserve"> </w:t>
            </w:r>
            <w:r w:rsidR="00050CBC">
              <w:rPr>
                <w:rFonts w:eastAsia="Times New Roman" w:cs="Times New Roman"/>
                <w:bCs/>
                <w:szCs w:val="24"/>
                <w:lang w:eastAsia="lv-LV"/>
              </w:rPr>
              <w:t>4</w:t>
            </w:r>
            <w:r w:rsidRPr="002F1FD1">
              <w:rPr>
                <w:rFonts w:eastAsia="Times New Roman" w:cs="Times New Roman"/>
                <w:bCs/>
                <w:szCs w:val="24"/>
                <w:lang w:eastAsia="lv-LV"/>
              </w:rPr>
              <w:t>.1.</w:t>
            </w:r>
          </w:p>
        </w:tc>
        <w:tc>
          <w:tcPr>
            <w:tcW w:w="3907" w:type="pct"/>
            <w:tcBorders>
              <w:top w:val="single" w:sz="4" w:space="0" w:color="auto"/>
              <w:left w:val="single" w:sz="4" w:space="0" w:color="auto"/>
              <w:bottom w:val="single" w:sz="4" w:space="0" w:color="auto"/>
            </w:tcBorders>
            <w:shd w:val="clear" w:color="auto" w:fill="FFFFFF" w:themeFill="background1"/>
          </w:tcPr>
          <w:p w14:paraId="5EC4F2A8" w14:textId="780FB6FE" w:rsidR="00BA680F" w:rsidRPr="00050CBC" w:rsidRDefault="00BA680F" w:rsidP="00014325">
            <w:pPr>
              <w:tabs>
                <w:tab w:val="left" w:pos="1108"/>
              </w:tabs>
              <w:ind w:left="135" w:right="83"/>
              <w:jc w:val="both"/>
              <w:rPr>
                <w:rFonts w:cs="Times New Roman"/>
                <w:szCs w:val="24"/>
              </w:rPr>
            </w:pPr>
            <w:r w:rsidRPr="00050CBC">
              <w:rPr>
                <w:rFonts w:cs="Times New Roman"/>
                <w:szCs w:val="24"/>
              </w:rPr>
              <w:t>Pretendents garantē piegādātās Preces kvalitātes atbilstību Latvijas Republikā spēkā esošo normatīvo aktu prasībām. Pretendentam jānodrošina piegādātajai Precei garantijas laiks vismaz 12 (divpadsmit) mēneši no Preces piegādes pavadzīmes abpusējas parakstīšanas dienas.</w:t>
            </w:r>
          </w:p>
        </w:tc>
        <w:tc>
          <w:tcPr>
            <w:tcW w:w="659" w:type="pct"/>
            <w:tcBorders>
              <w:top w:val="single" w:sz="4" w:space="0" w:color="auto"/>
              <w:left w:val="single" w:sz="4" w:space="0" w:color="auto"/>
              <w:bottom w:val="single" w:sz="4" w:space="0" w:color="auto"/>
            </w:tcBorders>
            <w:shd w:val="clear" w:color="auto" w:fill="FFFFFF" w:themeFill="background1"/>
          </w:tcPr>
          <w:p w14:paraId="15980C76" w14:textId="0CF2EEEF" w:rsidR="00BA680F" w:rsidRPr="002F1FD1" w:rsidRDefault="00BA680F" w:rsidP="00BA680F">
            <w:pPr>
              <w:jc w:val="center"/>
              <w:rPr>
                <w:rFonts w:cs="Times New Roman"/>
                <w:b/>
                <w:iCs/>
                <w:szCs w:val="24"/>
              </w:rPr>
            </w:pPr>
          </w:p>
        </w:tc>
      </w:tr>
      <w:tr w:rsidR="00BA680F" w:rsidRPr="002F1FD1" w14:paraId="6E57E051"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5BEC" w14:textId="16CEBCE6" w:rsidR="00BA680F" w:rsidRPr="002F1FD1" w:rsidRDefault="00BA680F" w:rsidP="00BA680F">
            <w:pPr>
              <w:rPr>
                <w:rFonts w:eastAsia="Times New Roman" w:cs="Times New Roman"/>
                <w:bCs/>
                <w:szCs w:val="24"/>
                <w:lang w:eastAsia="lv-LV"/>
              </w:rPr>
            </w:pPr>
            <w:r w:rsidRPr="002F1FD1">
              <w:rPr>
                <w:rFonts w:eastAsia="Times New Roman" w:cs="Times New Roman"/>
                <w:bCs/>
                <w:szCs w:val="24"/>
                <w:lang w:eastAsia="lv-LV"/>
              </w:rPr>
              <w:t xml:space="preserve"> </w:t>
            </w:r>
            <w:r w:rsidR="00050CBC">
              <w:rPr>
                <w:rFonts w:eastAsia="Times New Roman" w:cs="Times New Roman"/>
                <w:bCs/>
                <w:szCs w:val="24"/>
                <w:lang w:eastAsia="lv-LV"/>
              </w:rPr>
              <w:t>4</w:t>
            </w:r>
            <w:r w:rsidRPr="002F1FD1">
              <w:rPr>
                <w:rFonts w:eastAsia="Times New Roman" w:cs="Times New Roman"/>
                <w:bCs/>
                <w:szCs w:val="24"/>
                <w:lang w:eastAsia="lv-LV"/>
              </w:rPr>
              <w:t>.2.</w:t>
            </w:r>
          </w:p>
        </w:tc>
        <w:tc>
          <w:tcPr>
            <w:tcW w:w="3907" w:type="pct"/>
            <w:tcBorders>
              <w:top w:val="single" w:sz="4" w:space="0" w:color="auto"/>
              <w:left w:val="single" w:sz="4" w:space="0" w:color="auto"/>
              <w:bottom w:val="single" w:sz="4" w:space="0" w:color="auto"/>
            </w:tcBorders>
            <w:shd w:val="clear" w:color="auto" w:fill="FFFFFF" w:themeFill="background1"/>
          </w:tcPr>
          <w:p w14:paraId="1B13223C" w14:textId="0DEC1AD9" w:rsidR="00BA680F" w:rsidRPr="00050CBC" w:rsidRDefault="00BA680F" w:rsidP="00014325">
            <w:pPr>
              <w:tabs>
                <w:tab w:val="left" w:pos="1108"/>
              </w:tabs>
              <w:ind w:left="135" w:right="83"/>
              <w:jc w:val="both"/>
              <w:rPr>
                <w:rFonts w:cs="Times New Roman"/>
                <w:szCs w:val="24"/>
              </w:rPr>
            </w:pPr>
            <w:r w:rsidRPr="00050CBC">
              <w:rPr>
                <w:rFonts w:cs="Times New Roman"/>
                <w:szCs w:val="24"/>
              </w:rPr>
              <w:t>Ja garantijas laikā Precei konstatēti trūkumi, bojājumi, kas nav radušies Pasūtītāja vainas dēļ (Pasūtītājs ir ievērojis Preces glabāšanas un/vai lietošanas prasības), Pasūtītāja pilnvarotā persona sagatavo motivētu pretenziju un 3 (trīs) darba dienu laikā nosūta to Pretendenta pilnvarotajai personai uz elektroniskā pasta adresi.</w:t>
            </w:r>
          </w:p>
        </w:tc>
        <w:tc>
          <w:tcPr>
            <w:tcW w:w="659" w:type="pct"/>
            <w:tcBorders>
              <w:top w:val="single" w:sz="4" w:space="0" w:color="auto"/>
              <w:left w:val="single" w:sz="4" w:space="0" w:color="auto"/>
              <w:bottom w:val="single" w:sz="4" w:space="0" w:color="auto"/>
            </w:tcBorders>
            <w:shd w:val="clear" w:color="auto" w:fill="FFFFFF" w:themeFill="background1"/>
          </w:tcPr>
          <w:p w14:paraId="481525CC" w14:textId="77777777" w:rsidR="00BA680F" w:rsidRPr="002F1FD1" w:rsidRDefault="00BA680F" w:rsidP="00BA680F">
            <w:pPr>
              <w:jc w:val="center"/>
              <w:rPr>
                <w:rFonts w:cs="Times New Roman"/>
                <w:b/>
                <w:iCs/>
                <w:szCs w:val="24"/>
              </w:rPr>
            </w:pPr>
          </w:p>
        </w:tc>
      </w:tr>
      <w:tr w:rsidR="00BA680F" w:rsidRPr="002F1FD1" w14:paraId="055B4D75"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7F4B0" w14:textId="14319095" w:rsidR="00BA680F" w:rsidRPr="002F1FD1" w:rsidRDefault="00BA680F" w:rsidP="00BA680F">
            <w:pPr>
              <w:rPr>
                <w:rFonts w:eastAsia="Times New Roman" w:cs="Times New Roman"/>
                <w:bCs/>
                <w:szCs w:val="24"/>
                <w:lang w:eastAsia="lv-LV"/>
              </w:rPr>
            </w:pPr>
            <w:r w:rsidRPr="002F1FD1">
              <w:rPr>
                <w:rFonts w:eastAsia="Times New Roman" w:cs="Times New Roman"/>
                <w:bCs/>
                <w:szCs w:val="24"/>
                <w:lang w:eastAsia="lv-LV"/>
              </w:rPr>
              <w:t xml:space="preserve"> </w:t>
            </w:r>
            <w:r w:rsidR="00050CBC">
              <w:rPr>
                <w:rFonts w:eastAsia="Times New Roman" w:cs="Times New Roman"/>
                <w:bCs/>
                <w:szCs w:val="24"/>
                <w:lang w:eastAsia="lv-LV"/>
              </w:rPr>
              <w:t>4</w:t>
            </w:r>
            <w:r w:rsidRPr="002F1FD1">
              <w:rPr>
                <w:rFonts w:eastAsia="Times New Roman" w:cs="Times New Roman"/>
                <w:bCs/>
                <w:szCs w:val="24"/>
                <w:lang w:eastAsia="lv-LV"/>
              </w:rPr>
              <w:t>.3.</w:t>
            </w:r>
          </w:p>
        </w:tc>
        <w:tc>
          <w:tcPr>
            <w:tcW w:w="3907" w:type="pct"/>
            <w:tcBorders>
              <w:top w:val="single" w:sz="4" w:space="0" w:color="auto"/>
              <w:left w:val="single" w:sz="4" w:space="0" w:color="auto"/>
              <w:bottom w:val="single" w:sz="4" w:space="0" w:color="auto"/>
            </w:tcBorders>
            <w:shd w:val="clear" w:color="auto" w:fill="FFFFFF" w:themeFill="background1"/>
          </w:tcPr>
          <w:p w14:paraId="0F32E725" w14:textId="2A099267" w:rsidR="00BA680F" w:rsidRPr="00050CBC" w:rsidRDefault="00BA680F" w:rsidP="00014325">
            <w:pPr>
              <w:tabs>
                <w:tab w:val="left" w:pos="1108"/>
              </w:tabs>
              <w:ind w:left="135" w:right="83"/>
              <w:jc w:val="both"/>
              <w:rPr>
                <w:rFonts w:cs="Times New Roman"/>
                <w:szCs w:val="24"/>
              </w:rPr>
            </w:pPr>
            <w:r w:rsidRPr="00050CBC">
              <w:rPr>
                <w:rFonts w:cs="Times New Roman"/>
                <w:szCs w:val="24"/>
              </w:rPr>
              <w:t xml:space="preserve">Preces garantijas laikā Pretendents par saviem līdzekļiem bez papildus samaksas novērš piegādātās Preces (tās daļas) trūkumus, bojājumus, kas nav radušies Pasūtītāja vainas dēļ (Pasūtītājs ir ievērojis Preces glabāšanas un/vai lietošanas prasības), un nepieciešamības gadījumā apmaina to pret jaunu, Līguma, tā pielikumu nosacījumiem atbilstošu Preci 3 (trīs) darba dienu laikā </w:t>
            </w:r>
            <w:r w:rsidRPr="00050CBC">
              <w:rPr>
                <w:rFonts w:cs="Times New Roman"/>
                <w:szCs w:val="24"/>
              </w:rPr>
              <w:lastRenderedPageBreak/>
              <w:t xml:space="preserve">no dienas, kad Pasūtītāja pilnvarotā persona Tehniskā piedāvājuma </w:t>
            </w:r>
            <w:r w:rsidR="00DF7BDA" w:rsidRPr="00111E9E">
              <w:rPr>
                <w:rFonts w:cs="Times New Roman"/>
                <w:szCs w:val="24"/>
              </w:rPr>
              <w:t>4</w:t>
            </w:r>
            <w:r w:rsidRPr="00DF7BDA">
              <w:rPr>
                <w:rFonts w:cs="Times New Roman"/>
                <w:szCs w:val="24"/>
              </w:rPr>
              <w:t>.2.apakšpunktā</w:t>
            </w:r>
            <w:r w:rsidRPr="00050CBC">
              <w:rPr>
                <w:rFonts w:cs="Times New Roman"/>
                <w:szCs w:val="24"/>
              </w:rPr>
              <w:t xml:space="preserve"> noteiktā kārtībā ir nosūtījusi motivētu pretenziju Pretendenta pilnvarotajai personai uz elektroniskā pasta adresi.</w:t>
            </w:r>
          </w:p>
        </w:tc>
        <w:tc>
          <w:tcPr>
            <w:tcW w:w="659" w:type="pct"/>
            <w:tcBorders>
              <w:top w:val="single" w:sz="4" w:space="0" w:color="auto"/>
              <w:left w:val="single" w:sz="4" w:space="0" w:color="auto"/>
              <w:bottom w:val="single" w:sz="4" w:space="0" w:color="auto"/>
            </w:tcBorders>
            <w:shd w:val="clear" w:color="auto" w:fill="FFFFFF" w:themeFill="background1"/>
          </w:tcPr>
          <w:p w14:paraId="2EDA3CCD" w14:textId="77777777" w:rsidR="00BA680F" w:rsidRPr="002F1FD1" w:rsidRDefault="00BA680F" w:rsidP="00BA680F">
            <w:pPr>
              <w:jc w:val="center"/>
              <w:rPr>
                <w:rFonts w:cs="Times New Roman"/>
                <w:b/>
                <w:iCs/>
                <w:szCs w:val="24"/>
              </w:rPr>
            </w:pPr>
          </w:p>
        </w:tc>
      </w:tr>
      <w:tr w:rsidR="00BA680F" w:rsidRPr="002F1FD1" w14:paraId="6A499AFB"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5ED22" w14:textId="4C84737A" w:rsidR="00BA680F" w:rsidRPr="002F1FD1" w:rsidRDefault="00BA680F" w:rsidP="00BA680F">
            <w:pPr>
              <w:rPr>
                <w:rFonts w:eastAsia="Times New Roman" w:cs="Times New Roman"/>
                <w:bCs/>
                <w:szCs w:val="24"/>
                <w:lang w:eastAsia="lv-LV"/>
              </w:rPr>
            </w:pPr>
            <w:r w:rsidRPr="002F1FD1">
              <w:rPr>
                <w:rFonts w:eastAsia="Times New Roman" w:cs="Times New Roman"/>
                <w:bCs/>
                <w:szCs w:val="24"/>
                <w:lang w:eastAsia="lv-LV"/>
              </w:rPr>
              <w:t xml:space="preserve"> </w:t>
            </w:r>
            <w:r w:rsidR="00050CBC">
              <w:rPr>
                <w:rFonts w:eastAsia="Times New Roman" w:cs="Times New Roman"/>
                <w:bCs/>
                <w:szCs w:val="24"/>
                <w:lang w:eastAsia="lv-LV"/>
              </w:rPr>
              <w:t>4</w:t>
            </w:r>
            <w:r w:rsidRPr="002F1FD1">
              <w:rPr>
                <w:rFonts w:eastAsia="Times New Roman" w:cs="Times New Roman"/>
                <w:bCs/>
                <w:szCs w:val="24"/>
                <w:lang w:eastAsia="lv-LV"/>
              </w:rPr>
              <w:t>.4.</w:t>
            </w:r>
          </w:p>
        </w:tc>
        <w:tc>
          <w:tcPr>
            <w:tcW w:w="3907" w:type="pct"/>
            <w:tcBorders>
              <w:top w:val="single" w:sz="4" w:space="0" w:color="auto"/>
              <w:left w:val="single" w:sz="4" w:space="0" w:color="auto"/>
              <w:bottom w:val="single" w:sz="4" w:space="0" w:color="auto"/>
            </w:tcBorders>
            <w:shd w:val="clear" w:color="auto" w:fill="FFFFFF" w:themeFill="background1"/>
          </w:tcPr>
          <w:p w14:paraId="38E726C4" w14:textId="558D9D2E" w:rsidR="00BA680F" w:rsidRPr="00050CBC" w:rsidRDefault="00BA680F" w:rsidP="00014325">
            <w:pPr>
              <w:tabs>
                <w:tab w:val="left" w:pos="1108"/>
              </w:tabs>
              <w:ind w:left="135" w:right="83"/>
              <w:jc w:val="both"/>
              <w:rPr>
                <w:rFonts w:cs="Times New Roman"/>
                <w:szCs w:val="24"/>
              </w:rPr>
            </w:pPr>
            <w:r w:rsidRPr="00050CBC">
              <w:rPr>
                <w:rFonts w:cs="Times New Roman"/>
                <w:szCs w:val="24"/>
              </w:rPr>
              <w:t>Līguma garantijas noteikumi attiecas uz garantijas darbības laikā neierobežotu reižu skaitu veiktu Preces trūkumu novēršanu vai apmaiņu.</w:t>
            </w:r>
          </w:p>
        </w:tc>
        <w:tc>
          <w:tcPr>
            <w:tcW w:w="659" w:type="pct"/>
            <w:tcBorders>
              <w:top w:val="single" w:sz="4" w:space="0" w:color="auto"/>
              <w:left w:val="single" w:sz="4" w:space="0" w:color="auto"/>
              <w:bottom w:val="single" w:sz="4" w:space="0" w:color="auto"/>
            </w:tcBorders>
            <w:shd w:val="clear" w:color="auto" w:fill="FFFFFF" w:themeFill="background1"/>
          </w:tcPr>
          <w:p w14:paraId="16C6F8F5" w14:textId="77777777" w:rsidR="00BA680F" w:rsidRPr="002F1FD1" w:rsidRDefault="00BA680F" w:rsidP="00BA680F">
            <w:pPr>
              <w:jc w:val="center"/>
              <w:rPr>
                <w:rFonts w:cs="Times New Roman"/>
                <w:b/>
                <w:iCs/>
                <w:szCs w:val="24"/>
              </w:rPr>
            </w:pPr>
          </w:p>
        </w:tc>
      </w:tr>
      <w:tr w:rsidR="00BA680F" w:rsidRPr="002F1FD1" w14:paraId="3CC4591E"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FF37E" w14:textId="77777777" w:rsidR="00BA680F" w:rsidRPr="002F1FD1" w:rsidRDefault="00BA680F" w:rsidP="00BA680F">
            <w:pPr>
              <w:pStyle w:val="ListParagraph"/>
              <w:numPr>
                <w:ilvl w:val="0"/>
                <w:numId w:val="32"/>
              </w:numPr>
              <w:ind w:hanging="578"/>
              <w:rPr>
                <w:rFonts w:eastAsia="Times New Roman" w:cs="Times New Roman"/>
                <w:b/>
                <w:szCs w:val="24"/>
                <w:lang w:eastAsia="lv-LV"/>
              </w:rPr>
            </w:pPr>
          </w:p>
        </w:tc>
        <w:tc>
          <w:tcPr>
            <w:tcW w:w="4566" w:type="pct"/>
            <w:gridSpan w:val="2"/>
            <w:tcBorders>
              <w:top w:val="single" w:sz="4" w:space="0" w:color="auto"/>
              <w:left w:val="single" w:sz="4" w:space="0" w:color="auto"/>
              <w:bottom w:val="single" w:sz="4" w:space="0" w:color="auto"/>
            </w:tcBorders>
            <w:shd w:val="clear" w:color="auto" w:fill="D9D9D9" w:themeFill="background1" w:themeFillShade="D9"/>
          </w:tcPr>
          <w:p w14:paraId="7ABCEC5B" w14:textId="17149603" w:rsidR="00BA680F" w:rsidRPr="002F1FD1" w:rsidRDefault="00BA680F" w:rsidP="00BA680F">
            <w:pPr>
              <w:jc w:val="center"/>
              <w:rPr>
                <w:rFonts w:cs="Times New Roman"/>
                <w:b/>
                <w:iCs/>
                <w:szCs w:val="24"/>
              </w:rPr>
            </w:pPr>
            <w:r w:rsidRPr="002F1FD1">
              <w:rPr>
                <w:rFonts w:cs="Times New Roman"/>
                <w:b/>
                <w:iCs/>
                <w:szCs w:val="24"/>
              </w:rPr>
              <w:t>Preces izmaksas</w:t>
            </w:r>
          </w:p>
        </w:tc>
      </w:tr>
      <w:tr w:rsidR="00BA680F" w:rsidRPr="002F1FD1" w14:paraId="4ECDAE00" w14:textId="77777777" w:rsidTr="002F1FD1">
        <w:trPr>
          <w:trHeight w:val="310"/>
        </w:trPr>
        <w:tc>
          <w:tcPr>
            <w:tcW w:w="434" w:type="pct"/>
            <w:tcBorders>
              <w:top w:val="single" w:sz="4" w:space="0" w:color="auto"/>
            </w:tcBorders>
            <w:vAlign w:val="center"/>
          </w:tcPr>
          <w:p w14:paraId="2BB0C5E9" w14:textId="7E350819"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37A53DA8" w14:textId="3790560E"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 xml:space="preserve">Preces cenā ir jābūt iekļautām visām izmaksām, kas saistītas ar Preces maketa un dizaina izstrādi, Preces izgatavošanu, transporta izdevumiem un Preces piegādi Pasūtītāja norādītajā vietā, </w:t>
            </w:r>
            <w:r w:rsidRPr="00050CBC">
              <w:rPr>
                <w:rFonts w:cs="Times New Roman"/>
                <w:color w:val="000000"/>
                <w:szCs w:val="24"/>
              </w:rPr>
              <w:t xml:space="preserve"> muitas maksājumiem,</w:t>
            </w:r>
            <w:r w:rsidRPr="00050CBC">
              <w:rPr>
                <w:rFonts w:cs="Times New Roman"/>
                <w:szCs w:val="24"/>
              </w:rPr>
              <w:t xml:space="preserve"> maketētāja, projektu vadītāja pakalpojumiem, datorizdrukām, labojumu veikšanu, garantijas nodrošināšanu, nodokļiem (izņemot – PVN), nodevām, nepieciešamo atļauju iegūšanu no trešajām pusēm, kā arī citām ar līguma savlaicīgu un kvalitatīvu izpildi saistītām izmaksām.</w:t>
            </w:r>
          </w:p>
        </w:tc>
        <w:tc>
          <w:tcPr>
            <w:tcW w:w="659" w:type="pct"/>
          </w:tcPr>
          <w:p w14:paraId="593B30D8"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59F6F82F" w14:textId="77777777" w:rsidTr="002F1FD1">
        <w:trPr>
          <w:trHeight w:val="234"/>
        </w:trPr>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BA680F" w:rsidRPr="002F1FD1" w:rsidRDefault="00BA680F" w:rsidP="00BA680F">
            <w:pPr>
              <w:pStyle w:val="ListParagraph"/>
              <w:numPr>
                <w:ilvl w:val="0"/>
                <w:numId w:val="32"/>
              </w:numPr>
              <w:ind w:hanging="578"/>
              <w:rPr>
                <w:rFonts w:eastAsia="Times New Roman" w:cs="Times New Roman"/>
                <w:b/>
                <w:szCs w:val="24"/>
                <w:lang w:eastAsia="lv-LV"/>
              </w:rPr>
            </w:pPr>
          </w:p>
        </w:tc>
        <w:tc>
          <w:tcPr>
            <w:tcW w:w="4566"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BA680F" w:rsidRPr="002F1FD1" w:rsidRDefault="00BA680F" w:rsidP="00BA680F">
            <w:pPr>
              <w:jc w:val="center"/>
              <w:rPr>
                <w:rFonts w:cs="Times New Roman"/>
                <w:b/>
                <w:szCs w:val="24"/>
              </w:rPr>
            </w:pPr>
            <w:r w:rsidRPr="002F1FD1">
              <w:rPr>
                <w:rFonts w:cs="Times New Roman"/>
                <w:b/>
                <w:bCs/>
                <w:szCs w:val="24"/>
              </w:rPr>
              <w:t>Samaksas noteikumi</w:t>
            </w:r>
          </w:p>
        </w:tc>
      </w:tr>
      <w:tr w:rsidR="00BA680F" w:rsidRPr="002F1FD1" w14:paraId="578D3AE1" w14:textId="77777777" w:rsidTr="002F1FD1">
        <w:trPr>
          <w:trHeight w:val="310"/>
        </w:trPr>
        <w:tc>
          <w:tcPr>
            <w:tcW w:w="434" w:type="pct"/>
            <w:tcBorders>
              <w:top w:val="single" w:sz="4" w:space="0" w:color="auto"/>
            </w:tcBorders>
            <w:vAlign w:val="center"/>
          </w:tcPr>
          <w:p w14:paraId="729C0E38" w14:textId="082B1588"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67DA70CE" w14:textId="2290631D"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Samaksu par kvalitatīvas un līguma nosacījumiem atbilstošas Preces piegādi Pasūtītājs veic 30 (trīsdesmit) dienu laikā no katras attiecīgās Preces piegādes pavadzīmes abpusējas parakstīšanas dienas, maksājumu pārskaitot uz Pretendenta līgumā norādīto norēķinu kontu kredītiestādē.</w:t>
            </w:r>
          </w:p>
        </w:tc>
        <w:tc>
          <w:tcPr>
            <w:tcW w:w="659" w:type="pct"/>
          </w:tcPr>
          <w:p w14:paraId="42266F6B"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56536EBE" w14:textId="77777777" w:rsidTr="002F1FD1">
        <w:trPr>
          <w:trHeight w:val="310"/>
        </w:trPr>
        <w:tc>
          <w:tcPr>
            <w:tcW w:w="434" w:type="pct"/>
            <w:tcBorders>
              <w:top w:val="single" w:sz="4" w:space="0" w:color="auto"/>
            </w:tcBorders>
            <w:vAlign w:val="center"/>
          </w:tcPr>
          <w:p w14:paraId="6018AFDD" w14:textId="4556B00E"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E1FA13B" w14:textId="18371778"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Par Preces samaksas brīdi uzskatāms naudas pārskaitīšanas datums no Pasūtītāja norēķinu konta.</w:t>
            </w:r>
          </w:p>
        </w:tc>
        <w:tc>
          <w:tcPr>
            <w:tcW w:w="659" w:type="pct"/>
          </w:tcPr>
          <w:p w14:paraId="0E791626"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6A7B0BEF" w14:textId="77777777" w:rsidTr="002F1FD1">
        <w:trPr>
          <w:trHeight w:val="310"/>
        </w:trPr>
        <w:tc>
          <w:tcPr>
            <w:tcW w:w="434" w:type="pct"/>
            <w:tcBorders>
              <w:top w:val="single" w:sz="4" w:space="0" w:color="auto"/>
            </w:tcBorders>
            <w:vAlign w:val="center"/>
          </w:tcPr>
          <w:p w14:paraId="59CC5F0A" w14:textId="67767C2F"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1066F1AE" w14:textId="148C1875"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Preces cena ir norādīta, paredzot prognozējamo izmaksu svārstību risku, un ir nemainīga visā līguma darbības laikā. Pasūtītājs veic samaksu saskaņā ar līgumā norādīto Preces cenu.</w:t>
            </w:r>
          </w:p>
        </w:tc>
        <w:tc>
          <w:tcPr>
            <w:tcW w:w="659" w:type="pct"/>
          </w:tcPr>
          <w:p w14:paraId="58525B07"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438513C3" w14:textId="77777777" w:rsidTr="002F1FD1">
        <w:trPr>
          <w:trHeight w:val="310"/>
        </w:trPr>
        <w:tc>
          <w:tcPr>
            <w:tcW w:w="434" w:type="pct"/>
            <w:tcBorders>
              <w:top w:val="single" w:sz="4" w:space="0" w:color="auto"/>
            </w:tcBorders>
            <w:vAlign w:val="center"/>
          </w:tcPr>
          <w:p w14:paraId="0B929E1E"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12C891DC" w14:textId="5D930D61"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Pasūtītājam nav pienākuma izlietot visu līgumā noteikto līguma summu, pasūtot Preci līgumā noteiktajā kārtībā.</w:t>
            </w:r>
          </w:p>
        </w:tc>
        <w:tc>
          <w:tcPr>
            <w:tcW w:w="659" w:type="pct"/>
          </w:tcPr>
          <w:p w14:paraId="339057CD"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5FCE4BC6" w14:textId="77777777" w:rsidTr="002F1FD1">
        <w:trPr>
          <w:trHeight w:val="196"/>
        </w:trPr>
        <w:tc>
          <w:tcPr>
            <w:tcW w:w="434" w:type="pct"/>
            <w:shd w:val="pct15" w:color="auto" w:fill="auto"/>
          </w:tcPr>
          <w:p w14:paraId="0D85BB5A" w14:textId="208FBEC4" w:rsidR="00BA680F" w:rsidRPr="002F1FD1" w:rsidRDefault="00BA680F" w:rsidP="00BA680F">
            <w:pPr>
              <w:pStyle w:val="ListParagraph"/>
              <w:numPr>
                <w:ilvl w:val="0"/>
                <w:numId w:val="32"/>
              </w:numPr>
              <w:ind w:hanging="578"/>
              <w:rPr>
                <w:rFonts w:eastAsia="Times New Roman" w:cs="Times New Roman"/>
                <w:b/>
                <w:szCs w:val="24"/>
                <w:lang w:eastAsia="lv-LV"/>
              </w:rPr>
            </w:pPr>
          </w:p>
        </w:tc>
        <w:tc>
          <w:tcPr>
            <w:tcW w:w="4566" w:type="pct"/>
            <w:gridSpan w:val="2"/>
            <w:shd w:val="pct15" w:color="auto" w:fill="auto"/>
          </w:tcPr>
          <w:p w14:paraId="5E7111E8" w14:textId="22807322" w:rsidR="00BA680F" w:rsidRPr="002F1FD1" w:rsidRDefault="00BA680F" w:rsidP="00BA680F">
            <w:pPr>
              <w:jc w:val="center"/>
              <w:rPr>
                <w:rFonts w:eastAsia="Times New Roman" w:cs="Times New Roman"/>
                <w:b/>
                <w:szCs w:val="24"/>
                <w:lang w:eastAsia="lv-LV"/>
              </w:rPr>
            </w:pPr>
            <w:r w:rsidRPr="002F1FD1">
              <w:rPr>
                <w:rFonts w:eastAsia="Times New Roman" w:cs="Times New Roman"/>
                <w:b/>
                <w:szCs w:val="24"/>
                <w:lang w:eastAsia="lv-LV"/>
              </w:rPr>
              <w:t xml:space="preserve">Pušu atbildība </w:t>
            </w:r>
          </w:p>
        </w:tc>
      </w:tr>
      <w:tr w:rsidR="00BA680F" w:rsidRPr="002F1FD1" w14:paraId="76B5F833" w14:textId="77777777" w:rsidTr="002F1FD1">
        <w:trPr>
          <w:trHeight w:val="310"/>
        </w:trPr>
        <w:tc>
          <w:tcPr>
            <w:tcW w:w="434" w:type="pct"/>
            <w:tcBorders>
              <w:top w:val="single" w:sz="4" w:space="0" w:color="auto"/>
            </w:tcBorders>
            <w:vAlign w:val="center"/>
          </w:tcPr>
          <w:p w14:paraId="083DC393" w14:textId="15C0C80C"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44848D4F" w14:textId="4BA07343"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Pretendents ir atbildīgs par Preces atbilstību Latvijas Republikā spēkā esošo normatīvo aktu prasībām.  Pretendents kompensē Pasūtītājam vai tā darbiniekiem jebkurus zaudējumus, kas radušies tāpēc, ka  Pretendents nav ievērojis normatīvo aktu prasības.</w:t>
            </w:r>
            <w:r w:rsidRPr="00050CBC">
              <w:rPr>
                <w:rFonts w:cs="Times New Roman"/>
                <w:b/>
                <w:szCs w:val="24"/>
              </w:rPr>
              <w:tab/>
            </w:r>
          </w:p>
        </w:tc>
        <w:tc>
          <w:tcPr>
            <w:tcW w:w="659" w:type="pct"/>
          </w:tcPr>
          <w:p w14:paraId="2C2DDE4D"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4385B7B0" w14:textId="77777777" w:rsidTr="002F1FD1">
        <w:trPr>
          <w:trHeight w:val="310"/>
        </w:trPr>
        <w:tc>
          <w:tcPr>
            <w:tcW w:w="434" w:type="pct"/>
            <w:tcBorders>
              <w:top w:val="single" w:sz="4" w:space="0" w:color="auto"/>
            </w:tcBorders>
            <w:vAlign w:val="center"/>
          </w:tcPr>
          <w:p w14:paraId="3DFFC0A0" w14:textId="1FC73CBE"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178D9CF5" w14:textId="6572BFA2"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 xml:space="preserve">Pretendents apņemas ievērot vadlīnijas - valsts pārvaldes iestāžu vienoto vizuālās identitātes grafisko standartu, kas norādītas Ministru kabineta mājaslapā, sadaļā Grafiskais standarts </w:t>
            </w:r>
            <w:hyperlink r:id="rId15" w:history="1">
              <w:r w:rsidRPr="00050CBC">
                <w:rPr>
                  <w:rStyle w:val="Hyperlink"/>
                  <w:rFonts w:cs="Times New Roman"/>
                  <w:szCs w:val="24"/>
                </w:rPr>
                <w:t>http://www.mk.gov.lv/lv/content/grafiskais-standarts</w:t>
              </w:r>
            </w:hyperlink>
            <w:r w:rsidRPr="00050CBC">
              <w:rPr>
                <w:rStyle w:val="Hyperlink"/>
                <w:rFonts w:cs="Times New Roman"/>
                <w:szCs w:val="24"/>
              </w:rPr>
              <w:t>.</w:t>
            </w:r>
          </w:p>
        </w:tc>
        <w:tc>
          <w:tcPr>
            <w:tcW w:w="659" w:type="pct"/>
          </w:tcPr>
          <w:p w14:paraId="2ECB2CE2"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65EF1DC5" w14:textId="77777777" w:rsidTr="002F1FD1">
        <w:trPr>
          <w:trHeight w:val="310"/>
        </w:trPr>
        <w:tc>
          <w:tcPr>
            <w:tcW w:w="434" w:type="pct"/>
            <w:tcBorders>
              <w:top w:val="single" w:sz="4" w:space="0" w:color="auto"/>
            </w:tcBorders>
            <w:vAlign w:val="center"/>
          </w:tcPr>
          <w:p w14:paraId="7BE4AFC1" w14:textId="67033964"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0F3770A2" w14:textId="7E2E9213"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Ja  Pretendents pēc līguma noslēgšanas atsakās veikt Preces piegādi atbilstoši līguma nosacījumiem, Pasūtītājs prasa  Pretendentam  maksāt līgumsodu EUR 500,00 (pieci simti euro) apmērā.</w:t>
            </w:r>
          </w:p>
        </w:tc>
        <w:tc>
          <w:tcPr>
            <w:tcW w:w="659" w:type="pct"/>
          </w:tcPr>
          <w:p w14:paraId="5CE8B185"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5F47B13F" w14:textId="77777777" w:rsidTr="002F1FD1">
        <w:trPr>
          <w:trHeight w:val="310"/>
        </w:trPr>
        <w:tc>
          <w:tcPr>
            <w:tcW w:w="434" w:type="pct"/>
            <w:tcBorders>
              <w:top w:val="single" w:sz="4" w:space="0" w:color="auto"/>
            </w:tcBorders>
            <w:vAlign w:val="center"/>
          </w:tcPr>
          <w:p w14:paraId="260A25F9"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6E5F7BF9" w14:textId="7CD9950E" w:rsidR="00BA680F" w:rsidRPr="002A727A" w:rsidRDefault="00BA680F" w:rsidP="00BA680F">
            <w:pPr>
              <w:tabs>
                <w:tab w:val="left" w:pos="1108"/>
              </w:tabs>
              <w:ind w:left="135" w:right="83"/>
              <w:jc w:val="both"/>
              <w:rPr>
                <w:rFonts w:eastAsia="Times New Roman" w:cs="Times New Roman"/>
                <w:szCs w:val="24"/>
                <w:lang w:eastAsia="lv-LV"/>
              </w:rPr>
            </w:pPr>
            <w:r w:rsidRPr="002A727A">
              <w:rPr>
                <w:rFonts w:cs="Times New Roman"/>
                <w:szCs w:val="24"/>
              </w:rPr>
              <w:t xml:space="preserve">Ja  Pretendents neievēro Tehniskā piedāvājuma </w:t>
            </w:r>
            <w:r w:rsidR="002A727A" w:rsidRPr="00515861">
              <w:rPr>
                <w:rFonts w:cs="Times New Roman"/>
                <w:szCs w:val="24"/>
              </w:rPr>
              <w:t>3</w:t>
            </w:r>
            <w:r w:rsidRPr="002A727A">
              <w:rPr>
                <w:rFonts w:cs="Times New Roman"/>
                <w:szCs w:val="24"/>
              </w:rPr>
              <w:t xml:space="preserve">.2., </w:t>
            </w:r>
            <w:r w:rsidR="002A727A" w:rsidRPr="00515861">
              <w:rPr>
                <w:rFonts w:cs="Times New Roman"/>
                <w:szCs w:val="24"/>
              </w:rPr>
              <w:t>3</w:t>
            </w:r>
            <w:r w:rsidRPr="002A727A">
              <w:rPr>
                <w:rFonts w:cs="Times New Roman"/>
                <w:szCs w:val="24"/>
              </w:rPr>
              <w:t xml:space="preserve">.4., vai </w:t>
            </w:r>
            <w:r w:rsidR="002A727A" w:rsidRPr="00515861">
              <w:rPr>
                <w:rFonts w:cs="Times New Roman"/>
                <w:szCs w:val="24"/>
              </w:rPr>
              <w:t>4</w:t>
            </w:r>
            <w:r w:rsidRPr="002A727A">
              <w:rPr>
                <w:rFonts w:cs="Times New Roman"/>
                <w:szCs w:val="24"/>
              </w:rPr>
              <w:t>.3.apakšpunktā norādītos termiņus, Pasūtītājam ir tiesības prasīt  Pretendentam  maksāt līgumsodu 0,1% (procenta viena desmitā daļa) apmērā no nepiegādātās Preces vai trūkumu nenovērstās Preces summas bez PVN par katru nokavēto dienu, bet kopsummā ne vairāk kā 10% (desmit procentu) no nepiegādātās vai trūkumu nenovērstās Preces vērtības.</w:t>
            </w:r>
          </w:p>
        </w:tc>
        <w:tc>
          <w:tcPr>
            <w:tcW w:w="659" w:type="pct"/>
          </w:tcPr>
          <w:p w14:paraId="6023FA56"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627D850C" w14:textId="77777777" w:rsidTr="002F1FD1">
        <w:trPr>
          <w:trHeight w:val="310"/>
        </w:trPr>
        <w:tc>
          <w:tcPr>
            <w:tcW w:w="434" w:type="pct"/>
            <w:tcBorders>
              <w:top w:val="single" w:sz="4" w:space="0" w:color="auto"/>
            </w:tcBorders>
            <w:vAlign w:val="center"/>
          </w:tcPr>
          <w:p w14:paraId="0DCE1E11"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37643144" w14:textId="42382682"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 xml:space="preserve">Par Preces piegādes termiņa nokavējumu, kas noteikts Tehniskā piedāvājuma </w:t>
            </w:r>
            <w:r w:rsidR="002A727A" w:rsidRPr="00515861">
              <w:rPr>
                <w:rFonts w:cs="Times New Roman"/>
                <w:szCs w:val="24"/>
              </w:rPr>
              <w:t>3</w:t>
            </w:r>
            <w:r w:rsidRPr="002A727A">
              <w:rPr>
                <w:rFonts w:cs="Times New Roman"/>
                <w:szCs w:val="24"/>
              </w:rPr>
              <w:t>.6.apakšpunktā</w:t>
            </w:r>
            <w:r w:rsidRPr="00050CBC">
              <w:rPr>
                <w:rFonts w:cs="Times New Roman"/>
                <w:szCs w:val="24"/>
              </w:rPr>
              <w:t xml:space="preserve">, Pasūtītājam ir tiesības prasīt no Pretendenta līgumsodu 10,00 EUR (desmit euro 00 centi) par katru nokavēto Preces piegādes dienu. Saskaņā ar šo apakšpunktu aprēķinātais līgumsods katrā atsevišķā tā </w:t>
            </w:r>
            <w:r w:rsidRPr="00050CBC">
              <w:rPr>
                <w:rFonts w:cs="Times New Roman"/>
                <w:szCs w:val="24"/>
              </w:rPr>
              <w:lastRenderedPageBreak/>
              <w:t>piemērošanas gadījumā nedrīkst pārsniegt 10% (desmit procentus) no termiņā nepiegādātās Preces kopējās summas</w:t>
            </w:r>
            <w:r w:rsidRPr="00050CBC" w:rsidDel="007711D9">
              <w:rPr>
                <w:rFonts w:cs="Times New Roman"/>
                <w:szCs w:val="24"/>
              </w:rPr>
              <w:t xml:space="preserve"> </w:t>
            </w:r>
            <w:r w:rsidRPr="00050CBC">
              <w:rPr>
                <w:rFonts w:cs="Times New Roman"/>
                <w:szCs w:val="24"/>
              </w:rPr>
              <w:t>(bez PVN).</w:t>
            </w:r>
            <w:r w:rsidRPr="00050CBC">
              <w:rPr>
                <w:rFonts w:cs="Times New Roman"/>
                <w:szCs w:val="24"/>
              </w:rPr>
              <w:tab/>
            </w:r>
          </w:p>
        </w:tc>
        <w:tc>
          <w:tcPr>
            <w:tcW w:w="659" w:type="pct"/>
          </w:tcPr>
          <w:p w14:paraId="19C2D54C"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30DA8AA2" w14:textId="77777777" w:rsidTr="002F1FD1">
        <w:trPr>
          <w:trHeight w:val="310"/>
        </w:trPr>
        <w:tc>
          <w:tcPr>
            <w:tcW w:w="434" w:type="pct"/>
            <w:tcBorders>
              <w:top w:val="single" w:sz="4" w:space="0" w:color="auto"/>
            </w:tcBorders>
            <w:vAlign w:val="center"/>
          </w:tcPr>
          <w:p w14:paraId="4C2770E1"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2022337E" w14:textId="7F2A1CC5"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 xml:space="preserve">Preces piegādes kavējuma laikā ieskaita visu laika periodu, kas pārsniedz Tehniskā piedāvājuma </w:t>
            </w:r>
            <w:r w:rsidR="004F0D2C">
              <w:rPr>
                <w:rFonts w:cs="Times New Roman"/>
                <w:szCs w:val="24"/>
              </w:rPr>
              <w:t>3</w:t>
            </w:r>
            <w:r w:rsidRPr="00050CBC">
              <w:rPr>
                <w:rFonts w:cs="Times New Roman"/>
                <w:szCs w:val="24"/>
              </w:rPr>
              <w:t>.6.apakšpunktā norādīto Preces piegādes termiņu līdz dienai, kad Pretendents piegādā līguma nosacījumiem atbilstošu Preci un Pasūtītāja pilnvarotā persona paraksta Preces pavadzīmi. Preces piegādes kavējuma laikā netiek ieskaitīts laika periods no Preces piegādes dienas, kad Prece netika pieņemta līdz pretenzijas nosūtīšanas dienai.</w:t>
            </w:r>
          </w:p>
        </w:tc>
        <w:tc>
          <w:tcPr>
            <w:tcW w:w="659" w:type="pct"/>
          </w:tcPr>
          <w:p w14:paraId="5B1E34C0"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717F3823" w14:textId="77777777" w:rsidTr="002F1FD1">
        <w:trPr>
          <w:trHeight w:val="310"/>
        </w:trPr>
        <w:tc>
          <w:tcPr>
            <w:tcW w:w="434" w:type="pct"/>
            <w:tcBorders>
              <w:top w:val="single" w:sz="4" w:space="0" w:color="auto"/>
            </w:tcBorders>
            <w:vAlign w:val="center"/>
          </w:tcPr>
          <w:p w14:paraId="14996177"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5B3CBE10" w14:textId="0D9E9FB7"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 xml:space="preserve">Ja Pretendents neievēro Tehniskā piedāvājuma </w:t>
            </w:r>
            <w:r w:rsidR="004F0D2C" w:rsidRPr="00515861">
              <w:rPr>
                <w:rFonts w:cs="Times New Roman"/>
                <w:szCs w:val="24"/>
              </w:rPr>
              <w:t>3</w:t>
            </w:r>
            <w:r w:rsidRPr="004F0D2C">
              <w:rPr>
                <w:rFonts w:cs="Times New Roman"/>
                <w:szCs w:val="24"/>
              </w:rPr>
              <w:t>.13.apakšpunktā</w:t>
            </w:r>
            <w:r w:rsidRPr="00050CBC">
              <w:rPr>
                <w:rFonts w:cs="Times New Roman"/>
                <w:szCs w:val="24"/>
              </w:rPr>
              <w:t xml:space="preserve"> noteikto neatbilstošas un/vai bojātas Preces trūkumu, bojājumu, neatbilstību novēršanas un Preces apmaiņas termiņu Preces garantijas laikā, Pasūtītājam ir tiesības prasīt no Pretendenta līgumsodu 10,00 EUR (desmit euro 00 centi) apmērā par katru nokavējuma dienu līdz pilnīgai Preces trūkumu, bojājumu, neatbilstību novēršanai un Preces apmaiņas veikšanai. Saskaņā ar šo apakšpunktu aprēķinātais līgumsods katrā atsevišķā tā piemērošanas gadījumā nedrīkst pārsniegt 10% (desmit procentus) no neatbilstošas un/vai bojātas Preces kopējās summas bez PVN.</w:t>
            </w:r>
          </w:p>
        </w:tc>
        <w:tc>
          <w:tcPr>
            <w:tcW w:w="659" w:type="pct"/>
          </w:tcPr>
          <w:p w14:paraId="44544F9E"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05CA5467" w14:textId="77777777" w:rsidTr="002F1FD1">
        <w:trPr>
          <w:trHeight w:val="310"/>
        </w:trPr>
        <w:tc>
          <w:tcPr>
            <w:tcW w:w="434" w:type="pct"/>
            <w:tcBorders>
              <w:top w:val="single" w:sz="4" w:space="0" w:color="auto"/>
            </w:tcBorders>
            <w:vAlign w:val="center"/>
          </w:tcPr>
          <w:p w14:paraId="3603B093"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4699D417" w14:textId="1961E38F"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 xml:space="preserve">Par Tehniskā piedāvājuma </w:t>
            </w:r>
            <w:r w:rsidR="004F0D2C" w:rsidRPr="00515861">
              <w:rPr>
                <w:rFonts w:cs="Times New Roman"/>
                <w:szCs w:val="24"/>
              </w:rPr>
              <w:t>8</w:t>
            </w:r>
            <w:r w:rsidRPr="004F0D2C">
              <w:rPr>
                <w:rFonts w:cs="Times New Roman"/>
                <w:szCs w:val="24"/>
              </w:rPr>
              <w:t>.1.apakšpunktā</w:t>
            </w:r>
            <w:r w:rsidRPr="00050CBC">
              <w:rPr>
                <w:rFonts w:cs="Times New Roman"/>
                <w:szCs w:val="24"/>
              </w:rPr>
              <w:t xml:space="preserve"> norādīto ziņu prettiesisku izpaušanu Pasūtītājam ir tiesības prasīt Pretendentam maksāt līgumsodu 100 EUR (viens simts euro) apmērā par katru ziņu izpaušanas gadījumu.</w:t>
            </w:r>
          </w:p>
        </w:tc>
        <w:tc>
          <w:tcPr>
            <w:tcW w:w="659" w:type="pct"/>
          </w:tcPr>
          <w:p w14:paraId="166A4449"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422CD943" w14:textId="77777777" w:rsidTr="002F1FD1">
        <w:trPr>
          <w:trHeight w:val="310"/>
        </w:trPr>
        <w:tc>
          <w:tcPr>
            <w:tcW w:w="434" w:type="pct"/>
            <w:tcBorders>
              <w:top w:val="single" w:sz="4" w:space="0" w:color="auto"/>
            </w:tcBorders>
            <w:vAlign w:val="center"/>
          </w:tcPr>
          <w:p w14:paraId="513EB21F"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6D44378F" w14:textId="1D2760CC"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Ja Pasūtītājs neievēro samaksas termiņu, Pretendentam ir tiesības prasīt no Pasūtītāja līgumsodu 0,1% (procenta viena desmitā daļa) apmērā no savlaicīgi nesamaksātas summas, bez PVN, par katru nokavēto samaksas dienu. Saskaņā ar šo apakšpunktu aprēķinātais līgumsods katrā atsevišķā tā piemērošanas gadījumā nedrīkst pārsniegt 10% (desmit procentus) no kavētā maksājuma summas, bez PVN.</w:t>
            </w:r>
          </w:p>
        </w:tc>
        <w:tc>
          <w:tcPr>
            <w:tcW w:w="659" w:type="pct"/>
          </w:tcPr>
          <w:p w14:paraId="6D146328"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3ECFDF21" w14:textId="77777777" w:rsidTr="002F1FD1">
        <w:trPr>
          <w:trHeight w:val="310"/>
        </w:trPr>
        <w:tc>
          <w:tcPr>
            <w:tcW w:w="434" w:type="pct"/>
            <w:tcBorders>
              <w:top w:val="single" w:sz="4" w:space="0" w:color="auto"/>
            </w:tcBorders>
            <w:vAlign w:val="center"/>
          </w:tcPr>
          <w:p w14:paraId="668C5693"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30E23785" w14:textId="0AB93ADE"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tc>
        <w:tc>
          <w:tcPr>
            <w:tcW w:w="659" w:type="pct"/>
          </w:tcPr>
          <w:p w14:paraId="7178B54A" w14:textId="77777777" w:rsidR="00BA680F" w:rsidRPr="002F1FD1" w:rsidRDefault="00BA680F" w:rsidP="00BA680F">
            <w:pPr>
              <w:ind w:left="148" w:right="126"/>
              <w:jc w:val="both"/>
              <w:rPr>
                <w:rFonts w:eastAsia="Times New Roman" w:cs="Times New Roman"/>
                <w:szCs w:val="24"/>
                <w:lang w:eastAsia="lv-LV"/>
              </w:rPr>
            </w:pPr>
          </w:p>
        </w:tc>
      </w:tr>
      <w:tr w:rsidR="00BA680F" w:rsidRPr="002F1FD1" w14:paraId="3914A33A" w14:textId="77777777" w:rsidTr="002F1FD1">
        <w:trPr>
          <w:trHeight w:val="310"/>
        </w:trPr>
        <w:tc>
          <w:tcPr>
            <w:tcW w:w="434" w:type="pct"/>
            <w:tcBorders>
              <w:top w:val="single" w:sz="4" w:space="0" w:color="auto"/>
            </w:tcBorders>
            <w:vAlign w:val="center"/>
          </w:tcPr>
          <w:p w14:paraId="282DBC89"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7DA6A4D7" w14:textId="7F14186F"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659" w:type="pct"/>
          </w:tcPr>
          <w:p w14:paraId="7D0EBA79" w14:textId="77777777" w:rsidR="00BA680F" w:rsidRPr="002F1FD1" w:rsidRDefault="00BA680F" w:rsidP="00BA680F">
            <w:pPr>
              <w:ind w:left="148" w:right="126"/>
              <w:jc w:val="both"/>
              <w:rPr>
                <w:rFonts w:eastAsia="Times New Roman" w:cs="Times New Roman"/>
                <w:szCs w:val="24"/>
                <w:lang w:eastAsia="lv-LV"/>
              </w:rPr>
            </w:pPr>
          </w:p>
        </w:tc>
      </w:tr>
      <w:tr w:rsidR="003F2B63" w:rsidRPr="002F1FD1" w14:paraId="25198B3D" w14:textId="77777777" w:rsidTr="002F1FD1">
        <w:trPr>
          <w:trHeight w:val="310"/>
        </w:trPr>
        <w:tc>
          <w:tcPr>
            <w:tcW w:w="434" w:type="pct"/>
            <w:tcBorders>
              <w:top w:val="single" w:sz="4" w:space="0" w:color="auto"/>
            </w:tcBorders>
            <w:vAlign w:val="center"/>
          </w:tcPr>
          <w:p w14:paraId="13296649" w14:textId="77777777" w:rsidR="003F2B63" w:rsidRPr="002F1FD1" w:rsidRDefault="003F2B63"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3645BCDC" w14:textId="7F1A33C0" w:rsidR="003F2B63" w:rsidRPr="00050CBC" w:rsidRDefault="003F2B63" w:rsidP="00BA680F">
            <w:pPr>
              <w:tabs>
                <w:tab w:val="left" w:pos="1108"/>
              </w:tabs>
              <w:ind w:left="135" w:right="83"/>
              <w:jc w:val="both"/>
              <w:rPr>
                <w:rFonts w:cs="Times New Roman"/>
                <w:szCs w:val="24"/>
              </w:rPr>
            </w:pPr>
            <w:r w:rsidRPr="003F2B63">
              <w:rPr>
                <w:rFonts w:cs="Times New Roman"/>
                <w:szCs w:val="24"/>
              </w:rPr>
              <w:t xml:space="preserve">Par </w:t>
            </w:r>
            <w:r w:rsidR="00382B34">
              <w:rPr>
                <w:rFonts w:cs="Times New Roman"/>
                <w:szCs w:val="24"/>
              </w:rPr>
              <w:t>Tehniskā piedāvājuma 7.punktā</w:t>
            </w:r>
            <w:r w:rsidRPr="003F2B63">
              <w:rPr>
                <w:rFonts w:cs="Times New Roman"/>
                <w:szCs w:val="24"/>
              </w:rPr>
              <w:t xml:space="preserve"> noteikto nosacījumu pārkāpumu Pasūtītājs aprēķina līgumsodu un izraksta rēķinu. Pasūtītājs, nosūtot rēķinu par līgumsoda piedziņu, piedāvā Pretendentam 1 (viena) mēneša laikā sniegt atbildi par savu izvēli – to ietvert nākamajā Pasūtītāja maksājamā summā (dzēst ieskaita veidā) vai nomaksāt to 1 (viena) mēneša laikā, bet nepārsniedzot </w:t>
            </w:r>
            <w:r w:rsidR="00382B34">
              <w:rPr>
                <w:rFonts w:cs="Times New Roman"/>
                <w:szCs w:val="24"/>
              </w:rPr>
              <w:t>l</w:t>
            </w:r>
            <w:r w:rsidRPr="003F2B63">
              <w:rPr>
                <w:rFonts w:cs="Times New Roman"/>
                <w:szCs w:val="24"/>
              </w:rPr>
              <w:t>īguma spēkā esamības termiņu.</w:t>
            </w:r>
          </w:p>
        </w:tc>
        <w:tc>
          <w:tcPr>
            <w:tcW w:w="659" w:type="pct"/>
          </w:tcPr>
          <w:p w14:paraId="2C6B228F" w14:textId="77777777" w:rsidR="003F2B63" w:rsidRPr="002F1FD1" w:rsidRDefault="003F2B63" w:rsidP="00BA680F">
            <w:pPr>
              <w:ind w:left="148" w:right="126"/>
              <w:jc w:val="both"/>
              <w:rPr>
                <w:rFonts w:eastAsia="Times New Roman" w:cs="Times New Roman"/>
                <w:szCs w:val="24"/>
                <w:lang w:eastAsia="lv-LV"/>
              </w:rPr>
            </w:pPr>
          </w:p>
        </w:tc>
      </w:tr>
      <w:tr w:rsidR="003F2B63" w:rsidRPr="002F1FD1" w14:paraId="13969C66" w14:textId="77777777" w:rsidTr="002F1FD1">
        <w:trPr>
          <w:trHeight w:val="310"/>
        </w:trPr>
        <w:tc>
          <w:tcPr>
            <w:tcW w:w="434" w:type="pct"/>
            <w:tcBorders>
              <w:top w:val="single" w:sz="4" w:space="0" w:color="auto"/>
            </w:tcBorders>
            <w:vAlign w:val="center"/>
          </w:tcPr>
          <w:p w14:paraId="255E7A5D" w14:textId="77777777" w:rsidR="003F2B63" w:rsidRPr="002F1FD1" w:rsidRDefault="003F2B63"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34890931" w14:textId="058516D3" w:rsidR="003F2B63" w:rsidRPr="00050CBC" w:rsidRDefault="003F2B63" w:rsidP="00BA680F">
            <w:pPr>
              <w:tabs>
                <w:tab w:val="left" w:pos="1108"/>
              </w:tabs>
              <w:ind w:left="135" w:right="83"/>
              <w:jc w:val="both"/>
              <w:rPr>
                <w:rFonts w:cs="Times New Roman"/>
                <w:szCs w:val="24"/>
              </w:rPr>
            </w:pPr>
            <w:r w:rsidRPr="003F2B63">
              <w:rPr>
                <w:rFonts w:cs="Times New Roman"/>
                <w:szCs w:val="24"/>
              </w:rPr>
              <w:t xml:space="preserve">Pretendents, atbildot uz </w:t>
            </w:r>
            <w:r>
              <w:rPr>
                <w:rFonts w:cs="Times New Roman"/>
                <w:szCs w:val="24"/>
              </w:rPr>
              <w:t>7</w:t>
            </w:r>
            <w:r w:rsidRPr="003F2B63">
              <w:rPr>
                <w:rFonts w:cs="Times New Roman"/>
                <w:szCs w:val="24"/>
              </w:rPr>
              <w:t>.</w:t>
            </w:r>
            <w:r>
              <w:rPr>
                <w:rFonts w:cs="Times New Roman"/>
                <w:szCs w:val="24"/>
              </w:rPr>
              <w:t>12</w:t>
            </w:r>
            <w:r w:rsidRPr="003F2B63">
              <w:rPr>
                <w:rFonts w:cs="Times New Roman"/>
                <w:szCs w:val="24"/>
              </w:rPr>
              <w:t xml:space="preserve">.apakšpunktā norādīto Pasūtītāja vēstuli, informē par savu izvēli - to ietvert nākamā Pasūtītājam maksājamā summā (dzēst ieskaita veidā) vai nomaksāt to </w:t>
            </w:r>
            <w:r>
              <w:rPr>
                <w:rFonts w:cs="Times New Roman"/>
                <w:szCs w:val="24"/>
              </w:rPr>
              <w:t>7</w:t>
            </w:r>
            <w:r w:rsidRPr="003F2B63">
              <w:rPr>
                <w:rFonts w:cs="Times New Roman"/>
                <w:szCs w:val="24"/>
              </w:rPr>
              <w:t>.</w:t>
            </w:r>
            <w:r>
              <w:rPr>
                <w:rFonts w:cs="Times New Roman"/>
                <w:szCs w:val="24"/>
              </w:rPr>
              <w:t>12</w:t>
            </w:r>
            <w:r w:rsidRPr="003F2B63">
              <w:rPr>
                <w:rFonts w:cs="Times New Roman"/>
                <w:szCs w:val="24"/>
              </w:rPr>
              <w:t>.apakšpunktā norādītajā termiņā.</w:t>
            </w:r>
          </w:p>
        </w:tc>
        <w:tc>
          <w:tcPr>
            <w:tcW w:w="659" w:type="pct"/>
          </w:tcPr>
          <w:p w14:paraId="08327A9D" w14:textId="77777777" w:rsidR="003F2B63" w:rsidRPr="002F1FD1" w:rsidRDefault="003F2B63" w:rsidP="00BA680F">
            <w:pPr>
              <w:ind w:left="148" w:right="126"/>
              <w:jc w:val="both"/>
              <w:rPr>
                <w:rFonts w:eastAsia="Times New Roman" w:cs="Times New Roman"/>
                <w:szCs w:val="24"/>
                <w:lang w:eastAsia="lv-LV"/>
              </w:rPr>
            </w:pPr>
          </w:p>
        </w:tc>
      </w:tr>
      <w:tr w:rsidR="003F2B63" w:rsidRPr="002F1FD1" w14:paraId="56C455D9" w14:textId="77777777" w:rsidTr="002F1FD1">
        <w:trPr>
          <w:trHeight w:val="310"/>
        </w:trPr>
        <w:tc>
          <w:tcPr>
            <w:tcW w:w="434" w:type="pct"/>
            <w:tcBorders>
              <w:top w:val="single" w:sz="4" w:space="0" w:color="auto"/>
            </w:tcBorders>
            <w:vAlign w:val="center"/>
          </w:tcPr>
          <w:p w14:paraId="2E6B5E57" w14:textId="77777777" w:rsidR="003F2B63" w:rsidRPr="002F1FD1" w:rsidRDefault="003F2B63"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680EE999" w14:textId="34727461" w:rsidR="003F2B63" w:rsidRPr="00050CBC" w:rsidRDefault="003F2B63" w:rsidP="00BA680F">
            <w:pPr>
              <w:tabs>
                <w:tab w:val="left" w:pos="1108"/>
              </w:tabs>
              <w:ind w:left="135" w:right="83"/>
              <w:jc w:val="both"/>
              <w:rPr>
                <w:rFonts w:cs="Times New Roman"/>
                <w:szCs w:val="24"/>
              </w:rPr>
            </w:pPr>
            <w:r w:rsidRPr="003F2B63">
              <w:rPr>
                <w:rFonts w:cs="Times New Roman"/>
                <w:szCs w:val="24"/>
              </w:rPr>
              <w:t xml:space="preserve">Ja Pretendents, atbildē uz </w:t>
            </w:r>
            <w:r>
              <w:rPr>
                <w:rFonts w:cs="Times New Roman"/>
                <w:szCs w:val="24"/>
              </w:rPr>
              <w:t>7</w:t>
            </w:r>
            <w:r w:rsidRPr="003F2B63">
              <w:rPr>
                <w:rFonts w:cs="Times New Roman"/>
                <w:szCs w:val="24"/>
              </w:rPr>
              <w:t>.</w:t>
            </w:r>
            <w:r>
              <w:rPr>
                <w:rFonts w:cs="Times New Roman"/>
                <w:szCs w:val="24"/>
              </w:rPr>
              <w:t>12</w:t>
            </w:r>
            <w:r w:rsidRPr="003F2B63">
              <w:rPr>
                <w:rFonts w:cs="Times New Roman"/>
                <w:szCs w:val="24"/>
              </w:rPr>
              <w:t xml:space="preserve">.apakšpunktā norādīto Pasūtītāja vēstuli, ir izvēlējies līgumsodu dzēst ieskaita veidā, tad  Pretendents izrakstot nākamo rēķinu par piegādāto Preci rēķinā norāda Preces kopējo summu, ieturēto </w:t>
            </w:r>
            <w:r w:rsidRPr="003F2B63">
              <w:rPr>
                <w:rFonts w:cs="Times New Roman"/>
                <w:szCs w:val="24"/>
              </w:rPr>
              <w:lastRenderedPageBreak/>
              <w:t>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tc>
        <w:tc>
          <w:tcPr>
            <w:tcW w:w="659" w:type="pct"/>
          </w:tcPr>
          <w:p w14:paraId="1F24830D" w14:textId="77777777" w:rsidR="003F2B63" w:rsidRPr="002F1FD1" w:rsidRDefault="003F2B63" w:rsidP="00BA680F">
            <w:pPr>
              <w:ind w:left="148" w:right="126"/>
              <w:jc w:val="both"/>
              <w:rPr>
                <w:rFonts w:eastAsia="Times New Roman" w:cs="Times New Roman"/>
                <w:szCs w:val="24"/>
                <w:lang w:eastAsia="lv-LV"/>
              </w:rPr>
            </w:pPr>
          </w:p>
        </w:tc>
      </w:tr>
      <w:tr w:rsidR="00BA680F" w:rsidRPr="002F1FD1" w14:paraId="14509219" w14:textId="77777777" w:rsidTr="002F1FD1">
        <w:trPr>
          <w:trHeight w:val="310"/>
        </w:trPr>
        <w:tc>
          <w:tcPr>
            <w:tcW w:w="434" w:type="pct"/>
            <w:tcBorders>
              <w:top w:val="single" w:sz="4" w:space="0" w:color="auto"/>
            </w:tcBorders>
            <w:vAlign w:val="center"/>
          </w:tcPr>
          <w:p w14:paraId="45151E58" w14:textId="77777777" w:rsidR="00BA680F" w:rsidRPr="002F1FD1" w:rsidRDefault="00BA680F"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5639FA4C" w14:textId="40FA4699" w:rsidR="00BA680F" w:rsidRPr="002F1FD1" w:rsidRDefault="00BA680F" w:rsidP="00BA680F">
            <w:pPr>
              <w:tabs>
                <w:tab w:val="left" w:pos="1108"/>
              </w:tabs>
              <w:ind w:left="135" w:right="83"/>
              <w:jc w:val="both"/>
              <w:rPr>
                <w:rFonts w:eastAsia="Times New Roman" w:cs="Times New Roman"/>
                <w:szCs w:val="24"/>
                <w:lang w:eastAsia="lv-LV"/>
              </w:rPr>
            </w:pPr>
            <w:r w:rsidRPr="00050CBC">
              <w:rPr>
                <w:rFonts w:cs="Times New Roman"/>
                <w:szCs w:val="24"/>
              </w:rPr>
              <w:t>Līgumsoda samaksa neatbrīvo Puses no līguma saistību izpildes un zaudējumu atlīdzināšanas pienākuma.</w:t>
            </w:r>
          </w:p>
        </w:tc>
        <w:tc>
          <w:tcPr>
            <w:tcW w:w="659" w:type="pct"/>
          </w:tcPr>
          <w:p w14:paraId="094417C5" w14:textId="77777777" w:rsidR="00BA680F" w:rsidRPr="002F1FD1" w:rsidRDefault="00BA680F" w:rsidP="00BA680F">
            <w:pPr>
              <w:ind w:left="148" w:right="126"/>
              <w:jc w:val="both"/>
              <w:rPr>
                <w:rFonts w:eastAsia="Times New Roman" w:cs="Times New Roman"/>
                <w:szCs w:val="24"/>
                <w:lang w:eastAsia="lv-LV"/>
              </w:rPr>
            </w:pPr>
          </w:p>
        </w:tc>
      </w:tr>
      <w:tr w:rsidR="003F2B63" w:rsidRPr="002F1FD1" w14:paraId="46451B40" w14:textId="77777777" w:rsidTr="002F1FD1">
        <w:trPr>
          <w:trHeight w:val="310"/>
        </w:trPr>
        <w:tc>
          <w:tcPr>
            <w:tcW w:w="434" w:type="pct"/>
            <w:tcBorders>
              <w:top w:val="single" w:sz="4" w:space="0" w:color="auto"/>
            </w:tcBorders>
            <w:vAlign w:val="center"/>
          </w:tcPr>
          <w:p w14:paraId="25FA61DA" w14:textId="77777777" w:rsidR="003F2B63" w:rsidRPr="002F1FD1" w:rsidRDefault="003F2B63"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1188BC58" w14:textId="0043CD7C" w:rsidR="003F2B63" w:rsidRPr="00050CBC" w:rsidRDefault="003F2B63" w:rsidP="00BA680F">
            <w:pPr>
              <w:tabs>
                <w:tab w:val="left" w:pos="1108"/>
              </w:tabs>
              <w:ind w:left="135" w:right="83"/>
              <w:jc w:val="both"/>
              <w:rPr>
                <w:rFonts w:cs="Times New Roman"/>
                <w:szCs w:val="24"/>
              </w:rPr>
            </w:pPr>
            <w:r w:rsidRPr="003F2B63">
              <w:rPr>
                <w:rFonts w:cs="Times New Roman"/>
                <w:szCs w:val="24"/>
              </w:rPr>
              <w:t>Pretendents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tc>
        <w:tc>
          <w:tcPr>
            <w:tcW w:w="659" w:type="pct"/>
          </w:tcPr>
          <w:p w14:paraId="45AE2EC5" w14:textId="77777777" w:rsidR="003F2B63" w:rsidRPr="002F1FD1" w:rsidRDefault="003F2B63" w:rsidP="00BA680F">
            <w:pPr>
              <w:ind w:left="148" w:right="126"/>
              <w:jc w:val="both"/>
              <w:rPr>
                <w:rFonts w:eastAsia="Times New Roman" w:cs="Times New Roman"/>
                <w:szCs w:val="24"/>
                <w:lang w:eastAsia="lv-LV"/>
              </w:rPr>
            </w:pPr>
          </w:p>
        </w:tc>
      </w:tr>
      <w:tr w:rsidR="003F2B63" w:rsidRPr="002F1FD1" w14:paraId="748BF60C" w14:textId="77777777" w:rsidTr="002F1FD1">
        <w:trPr>
          <w:trHeight w:val="310"/>
        </w:trPr>
        <w:tc>
          <w:tcPr>
            <w:tcW w:w="434" w:type="pct"/>
            <w:tcBorders>
              <w:top w:val="single" w:sz="4" w:space="0" w:color="auto"/>
            </w:tcBorders>
            <w:vAlign w:val="center"/>
          </w:tcPr>
          <w:p w14:paraId="15596E86" w14:textId="77777777" w:rsidR="003F2B63" w:rsidRPr="002F1FD1" w:rsidRDefault="003F2B63" w:rsidP="00BA680F">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55D79365" w14:textId="77777777" w:rsidR="003F2B63" w:rsidRPr="003F2B63" w:rsidRDefault="003F2B63" w:rsidP="003F2B63">
            <w:pPr>
              <w:tabs>
                <w:tab w:val="left" w:pos="1108"/>
              </w:tabs>
              <w:ind w:left="135" w:right="83"/>
              <w:jc w:val="both"/>
              <w:rPr>
                <w:rFonts w:cs="Times New Roman"/>
                <w:szCs w:val="24"/>
              </w:rPr>
            </w:pPr>
            <w:r w:rsidRPr="003F2B63">
              <w:rPr>
                <w:rFonts w:cs="Times New Roman"/>
                <w:szCs w:val="24"/>
              </w:rPr>
              <w:t>Pretendents 2 (divu) darba dienas laikā rakstveidā informē Pasūtītāju:</w:t>
            </w:r>
          </w:p>
          <w:p w14:paraId="28BB8D3B" w14:textId="3E25C928" w:rsidR="003F2B63" w:rsidRPr="003F2B63" w:rsidRDefault="003F2B63" w:rsidP="00E31CBA">
            <w:pPr>
              <w:pStyle w:val="ListParagraph"/>
              <w:numPr>
                <w:ilvl w:val="2"/>
                <w:numId w:val="32"/>
              </w:numPr>
              <w:tabs>
                <w:tab w:val="left" w:pos="1108"/>
              </w:tabs>
              <w:ind w:right="83"/>
              <w:jc w:val="both"/>
              <w:rPr>
                <w:rFonts w:cs="Times New Roman"/>
                <w:szCs w:val="24"/>
              </w:rPr>
            </w:pPr>
            <w:r w:rsidRPr="003F2B63">
              <w:rPr>
                <w:rFonts w:cs="Times New Roman"/>
                <w:szCs w:val="24"/>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intereses ietekmējošas Eiropas Savienības un Ziemeļatlantijas līguma organizācijas dalībvalsts sankcijas);</w:t>
            </w:r>
          </w:p>
          <w:p w14:paraId="5962C8B6" w14:textId="42649BD8" w:rsidR="003F2B63" w:rsidRPr="003F2B63" w:rsidRDefault="003F2B63" w:rsidP="00E31CBA">
            <w:pPr>
              <w:pStyle w:val="ListParagraph"/>
              <w:numPr>
                <w:ilvl w:val="2"/>
                <w:numId w:val="32"/>
              </w:numPr>
              <w:tabs>
                <w:tab w:val="left" w:pos="1108"/>
              </w:tabs>
              <w:ind w:right="83"/>
              <w:jc w:val="both"/>
              <w:rPr>
                <w:rFonts w:cs="Times New Roman"/>
                <w:szCs w:val="24"/>
              </w:rPr>
            </w:pPr>
            <w:r w:rsidRPr="003F2B63">
              <w:rPr>
                <w:rFonts w:cs="Times New Roman"/>
                <w:szCs w:val="24"/>
              </w:rPr>
              <w:t>ja mainās Pretendenta dalībnieki, valdes un padomes locekļi, patiesā labuma guvēji, pārstāvēttiesīgās personas, prokūristi vai personas, kuras ir pilnvarotas pārstāvēt Pretendentu darbībās, kas saistītas ar filiāli, vai personālsabiedrības biedri, tās valdes vai padomes locekļi, patiesā labuma guvēji, pārstāvēttiesīgās personas vai prokūristi, ja Pretendents ir personālsabiedrība, un informācija par šajā apakšpunktā minētajām personām Uzņēmumu reģistra atvērto datu vietnē: https://info.ur.gov.lv/#/data-search nav publicēta.</w:t>
            </w:r>
          </w:p>
          <w:p w14:paraId="22F1C26E" w14:textId="77777777" w:rsidR="003F2B63" w:rsidRPr="00050CBC" w:rsidRDefault="003F2B63" w:rsidP="00BA680F">
            <w:pPr>
              <w:tabs>
                <w:tab w:val="left" w:pos="1108"/>
              </w:tabs>
              <w:ind w:left="135" w:right="83"/>
              <w:jc w:val="both"/>
              <w:rPr>
                <w:rFonts w:cs="Times New Roman"/>
                <w:szCs w:val="24"/>
              </w:rPr>
            </w:pPr>
          </w:p>
        </w:tc>
        <w:tc>
          <w:tcPr>
            <w:tcW w:w="659" w:type="pct"/>
          </w:tcPr>
          <w:p w14:paraId="2FBCAED5" w14:textId="77777777" w:rsidR="003F2B63" w:rsidRPr="002F1FD1" w:rsidRDefault="003F2B63" w:rsidP="00BA680F">
            <w:pPr>
              <w:ind w:left="148" w:right="126"/>
              <w:jc w:val="both"/>
              <w:rPr>
                <w:rFonts w:eastAsia="Times New Roman" w:cs="Times New Roman"/>
                <w:szCs w:val="24"/>
                <w:lang w:eastAsia="lv-LV"/>
              </w:rPr>
            </w:pPr>
          </w:p>
        </w:tc>
      </w:tr>
      <w:tr w:rsidR="00BA680F" w:rsidRPr="002F1FD1" w14:paraId="679FECB3" w14:textId="77777777" w:rsidTr="002F1FD1">
        <w:trPr>
          <w:trHeight w:val="196"/>
        </w:trPr>
        <w:tc>
          <w:tcPr>
            <w:tcW w:w="434" w:type="pct"/>
            <w:shd w:val="pct15" w:color="auto" w:fill="auto"/>
          </w:tcPr>
          <w:p w14:paraId="21560255" w14:textId="2FE89774" w:rsidR="00BA680F" w:rsidRPr="002F1FD1" w:rsidRDefault="00BA680F" w:rsidP="00BA680F">
            <w:pPr>
              <w:pStyle w:val="ListParagraph"/>
              <w:numPr>
                <w:ilvl w:val="0"/>
                <w:numId w:val="32"/>
              </w:numPr>
              <w:ind w:hanging="578"/>
              <w:rPr>
                <w:rFonts w:eastAsia="Times New Roman" w:cs="Times New Roman"/>
                <w:b/>
                <w:szCs w:val="24"/>
                <w:lang w:eastAsia="lv-LV"/>
              </w:rPr>
            </w:pPr>
          </w:p>
        </w:tc>
        <w:tc>
          <w:tcPr>
            <w:tcW w:w="4566" w:type="pct"/>
            <w:gridSpan w:val="2"/>
            <w:shd w:val="pct15" w:color="auto" w:fill="auto"/>
          </w:tcPr>
          <w:p w14:paraId="7BA442B4" w14:textId="1CB91B12" w:rsidR="00BA680F" w:rsidRPr="002F1FD1" w:rsidRDefault="00BA680F" w:rsidP="00BA680F">
            <w:pPr>
              <w:jc w:val="center"/>
              <w:rPr>
                <w:rFonts w:eastAsia="Times New Roman" w:cs="Times New Roman"/>
                <w:b/>
                <w:szCs w:val="24"/>
                <w:lang w:eastAsia="lv-LV"/>
              </w:rPr>
            </w:pPr>
            <w:r w:rsidRPr="002F1FD1">
              <w:rPr>
                <w:rFonts w:cs="Times New Roman"/>
                <w:b/>
                <w:szCs w:val="24"/>
              </w:rPr>
              <w:t xml:space="preserve">Informācijas neizpaužamība </w:t>
            </w:r>
          </w:p>
        </w:tc>
      </w:tr>
      <w:tr w:rsidR="00014325" w:rsidRPr="002F1FD1" w14:paraId="3570FFCA" w14:textId="77777777" w:rsidTr="002F1FD1">
        <w:trPr>
          <w:trHeight w:val="310"/>
        </w:trPr>
        <w:tc>
          <w:tcPr>
            <w:tcW w:w="434" w:type="pct"/>
            <w:tcBorders>
              <w:top w:val="single" w:sz="4" w:space="0" w:color="auto"/>
            </w:tcBorders>
            <w:vAlign w:val="center"/>
          </w:tcPr>
          <w:p w14:paraId="7D486BDC" w14:textId="6B5AC2C8" w:rsidR="00014325" w:rsidRPr="002F1FD1" w:rsidRDefault="00014325"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5E5ED925" w14:textId="09E6073D" w:rsidR="00014325" w:rsidRPr="002F1FD1" w:rsidRDefault="00014325" w:rsidP="00014325">
            <w:pPr>
              <w:tabs>
                <w:tab w:val="left" w:pos="1108"/>
              </w:tabs>
              <w:ind w:left="135" w:right="83"/>
              <w:jc w:val="both"/>
              <w:rPr>
                <w:rFonts w:eastAsia="Times New Roman" w:cs="Times New Roman"/>
                <w:szCs w:val="24"/>
                <w:lang w:eastAsia="lv-LV"/>
              </w:rPr>
            </w:pPr>
            <w:r w:rsidRPr="00050CBC">
              <w:rPr>
                <w:rFonts w:cs="Times New Roman"/>
                <w:szCs w:val="24"/>
              </w:rPr>
              <w:t>Pretendents apņemas visā savas sadarbības laikā, kā arī pēc tam neizpaust trešajām personām sakarā ar līguma izpildi iegūto, tā rīcībā esošo tehnisko, finansiālo un citu informāciju par Pasūtītāju.</w:t>
            </w:r>
          </w:p>
        </w:tc>
        <w:tc>
          <w:tcPr>
            <w:tcW w:w="659" w:type="pct"/>
          </w:tcPr>
          <w:p w14:paraId="77BD54F4" w14:textId="227FB04F" w:rsidR="00014325" w:rsidRPr="002F1FD1" w:rsidRDefault="00014325" w:rsidP="00014325">
            <w:pPr>
              <w:ind w:left="148" w:right="126"/>
              <w:jc w:val="both"/>
              <w:rPr>
                <w:rFonts w:eastAsia="Times New Roman" w:cs="Times New Roman"/>
                <w:szCs w:val="24"/>
                <w:lang w:eastAsia="lv-LV"/>
              </w:rPr>
            </w:pPr>
          </w:p>
        </w:tc>
      </w:tr>
      <w:tr w:rsidR="00014325" w:rsidRPr="002F1FD1" w14:paraId="481574C3" w14:textId="77777777" w:rsidTr="002F1FD1">
        <w:trPr>
          <w:trHeight w:val="310"/>
        </w:trPr>
        <w:tc>
          <w:tcPr>
            <w:tcW w:w="434" w:type="pct"/>
            <w:tcBorders>
              <w:top w:val="single" w:sz="4" w:space="0" w:color="auto"/>
            </w:tcBorders>
            <w:vAlign w:val="center"/>
          </w:tcPr>
          <w:p w14:paraId="4B11B8A1" w14:textId="0906F7BD" w:rsidR="00014325" w:rsidRPr="002F1FD1" w:rsidRDefault="00014325"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01E4E6F0" w14:textId="58B05E83" w:rsidR="00014325" w:rsidRPr="002F1FD1" w:rsidRDefault="00014325" w:rsidP="00014325">
            <w:pPr>
              <w:tabs>
                <w:tab w:val="left" w:pos="1108"/>
              </w:tabs>
              <w:ind w:left="135" w:right="83"/>
              <w:jc w:val="both"/>
              <w:rPr>
                <w:rFonts w:eastAsia="Times New Roman" w:cs="Times New Roman"/>
                <w:szCs w:val="24"/>
                <w:lang w:eastAsia="lv-LV"/>
              </w:rPr>
            </w:pPr>
            <w:r w:rsidRPr="00050CBC">
              <w:rPr>
                <w:rFonts w:cs="Times New Roman"/>
                <w:szCs w:val="24"/>
              </w:rPr>
              <w:t>Visa informācija, ko Pasūtītājs sniedz Pretendentam līguma izpildes laikā, tiek uzskatīta par neizpaužamu un nevar tikt izpausta vai padarīta publiski pieejama bez Pasūtītāja rakstiskas piekrišanas.</w:t>
            </w:r>
          </w:p>
        </w:tc>
        <w:tc>
          <w:tcPr>
            <w:tcW w:w="659" w:type="pct"/>
          </w:tcPr>
          <w:p w14:paraId="457C2E9F" w14:textId="77777777" w:rsidR="00014325" w:rsidRPr="002F1FD1" w:rsidRDefault="00014325" w:rsidP="00014325">
            <w:pPr>
              <w:ind w:left="148" w:right="126"/>
              <w:jc w:val="both"/>
              <w:rPr>
                <w:rFonts w:eastAsia="Times New Roman" w:cs="Times New Roman"/>
                <w:szCs w:val="24"/>
                <w:lang w:eastAsia="lv-LV"/>
              </w:rPr>
            </w:pPr>
          </w:p>
        </w:tc>
      </w:tr>
      <w:tr w:rsidR="00014325" w:rsidRPr="002F1FD1" w14:paraId="27854B0C" w14:textId="77777777" w:rsidTr="002F1FD1">
        <w:trPr>
          <w:trHeight w:val="310"/>
        </w:trPr>
        <w:tc>
          <w:tcPr>
            <w:tcW w:w="434" w:type="pct"/>
            <w:tcBorders>
              <w:top w:val="single" w:sz="4" w:space="0" w:color="auto"/>
            </w:tcBorders>
            <w:vAlign w:val="center"/>
          </w:tcPr>
          <w:p w14:paraId="7A2D3600" w14:textId="62D721F2" w:rsidR="00014325" w:rsidRPr="002F1FD1" w:rsidRDefault="00014325"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337DA40C" w14:textId="0126C001" w:rsidR="00014325" w:rsidRPr="002F1FD1" w:rsidRDefault="00014325" w:rsidP="00014325">
            <w:pPr>
              <w:tabs>
                <w:tab w:val="left" w:pos="1108"/>
              </w:tabs>
              <w:ind w:left="135" w:right="83"/>
              <w:jc w:val="both"/>
              <w:rPr>
                <w:rFonts w:eastAsia="Times New Roman" w:cs="Times New Roman"/>
                <w:szCs w:val="24"/>
                <w:lang w:eastAsia="lv-LV"/>
              </w:rPr>
            </w:pPr>
            <w:r w:rsidRPr="00050CBC">
              <w:rPr>
                <w:rFonts w:cs="Times New Roman"/>
                <w:szCs w:val="24"/>
              </w:rPr>
              <w:t xml:space="preserve">Iepriekš minētā informācija netiek uzskatīta par neizpaužamu, ja tā kļuvusi publiski pieejama saskaņā ar Latvijas Republikas normatīvajos aktos </w:t>
            </w:r>
            <w:r w:rsidRPr="00050CBC">
              <w:rPr>
                <w:rFonts w:cs="Times New Roman"/>
                <w:szCs w:val="24"/>
              </w:rPr>
              <w:lastRenderedPageBreak/>
              <w:t>noteiktajām prasībām (iekļauta Pušu administrācijas un grāmatvedības sagatavotos publiska rakstura pārskatos, atskaitēs u.tml.).</w:t>
            </w:r>
          </w:p>
        </w:tc>
        <w:tc>
          <w:tcPr>
            <w:tcW w:w="659" w:type="pct"/>
          </w:tcPr>
          <w:p w14:paraId="760B388C" w14:textId="77777777" w:rsidR="00014325" w:rsidRPr="002F1FD1" w:rsidRDefault="00014325" w:rsidP="00014325">
            <w:pPr>
              <w:ind w:left="148" w:right="126"/>
              <w:jc w:val="both"/>
              <w:rPr>
                <w:rFonts w:eastAsia="Times New Roman" w:cs="Times New Roman"/>
                <w:szCs w:val="24"/>
                <w:lang w:eastAsia="lv-LV"/>
              </w:rPr>
            </w:pPr>
          </w:p>
        </w:tc>
      </w:tr>
      <w:tr w:rsidR="00014325" w:rsidRPr="002F1FD1" w14:paraId="19F6D538" w14:textId="77777777" w:rsidTr="002F1FD1">
        <w:trPr>
          <w:trHeight w:val="196"/>
        </w:trPr>
        <w:tc>
          <w:tcPr>
            <w:tcW w:w="434" w:type="pct"/>
            <w:shd w:val="pct15" w:color="auto" w:fill="auto"/>
          </w:tcPr>
          <w:p w14:paraId="3F9CCC53" w14:textId="638268CA" w:rsidR="00014325" w:rsidRPr="002F1FD1" w:rsidRDefault="00014325" w:rsidP="00014325">
            <w:pPr>
              <w:pStyle w:val="ListParagraph"/>
              <w:numPr>
                <w:ilvl w:val="0"/>
                <w:numId w:val="32"/>
              </w:numPr>
              <w:ind w:hanging="578"/>
              <w:rPr>
                <w:rFonts w:eastAsia="Times New Roman" w:cs="Times New Roman"/>
                <w:b/>
                <w:szCs w:val="24"/>
                <w:lang w:eastAsia="lv-LV"/>
              </w:rPr>
            </w:pPr>
          </w:p>
        </w:tc>
        <w:tc>
          <w:tcPr>
            <w:tcW w:w="4566" w:type="pct"/>
            <w:gridSpan w:val="2"/>
            <w:shd w:val="pct15" w:color="auto" w:fill="auto"/>
          </w:tcPr>
          <w:p w14:paraId="7D575222" w14:textId="3A80DFE3" w:rsidR="00014325" w:rsidRPr="002F1FD1" w:rsidRDefault="00014325" w:rsidP="00014325">
            <w:pPr>
              <w:jc w:val="center"/>
              <w:rPr>
                <w:rFonts w:eastAsia="Times New Roman" w:cs="Times New Roman"/>
                <w:b/>
                <w:szCs w:val="24"/>
                <w:lang w:eastAsia="lv-LV"/>
              </w:rPr>
            </w:pPr>
            <w:r w:rsidRPr="002F1FD1">
              <w:rPr>
                <w:rFonts w:cs="Times New Roman"/>
                <w:b/>
                <w:szCs w:val="24"/>
              </w:rPr>
              <w:t>Līguma darbības termiņš</w:t>
            </w:r>
            <w:r w:rsidRPr="002F1FD1">
              <w:rPr>
                <w:rFonts w:cs="Times New Roman"/>
                <w:i/>
                <w:szCs w:val="24"/>
                <w:highlight w:val="yellow"/>
              </w:rPr>
              <w:t xml:space="preserve"> </w:t>
            </w:r>
          </w:p>
        </w:tc>
      </w:tr>
      <w:tr w:rsidR="00014325" w:rsidRPr="002F1FD1" w14:paraId="7840F725" w14:textId="77777777" w:rsidTr="002F1FD1">
        <w:trPr>
          <w:trHeight w:val="310"/>
        </w:trPr>
        <w:tc>
          <w:tcPr>
            <w:tcW w:w="434" w:type="pct"/>
            <w:tcBorders>
              <w:top w:val="single" w:sz="4" w:space="0" w:color="auto"/>
            </w:tcBorders>
            <w:vAlign w:val="center"/>
          </w:tcPr>
          <w:p w14:paraId="2D5E8A5B" w14:textId="1CFAFCCE" w:rsidR="00014325" w:rsidRPr="002F1FD1" w:rsidRDefault="00014325"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1EEE83B3" w14:textId="36E22736" w:rsidR="00014325" w:rsidRPr="002F1FD1" w:rsidRDefault="00014325" w:rsidP="00014325">
            <w:pPr>
              <w:tabs>
                <w:tab w:val="left" w:pos="1108"/>
              </w:tabs>
              <w:ind w:left="135" w:right="83"/>
              <w:jc w:val="both"/>
              <w:rPr>
                <w:rFonts w:eastAsia="Times New Roman" w:cs="Times New Roman"/>
                <w:szCs w:val="24"/>
                <w:lang w:eastAsia="lv-LV"/>
              </w:rPr>
            </w:pPr>
            <w:r w:rsidRPr="00050CBC">
              <w:rPr>
                <w:rFonts w:cs="Times New Roman"/>
                <w:szCs w:val="24"/>
              </w:rPr>
              <w:t>Līgums stājās spēkā ar tā abpusējas parakstīšanas dienu un ir spēkā līdz pušu saistību pilnīgai izpildei.</w:t>
            </w:r>
          </w:p>
        </w:tc>
        <w:tc>
          <w:tcPr>
            <w:tcW w:w="659" w:type="pct"/>
          </w:tcPr>
          <w:p w14:paraId="3F3F3E2C" w14:textId="6AD0A6CB" w:rsidR="00014325" w:rsidRPr="002F1FD1" w:rsidRDefault="00014325" w:rsidP="00014325">
            <w:pPr>
              <w:ind w:left="148" w:right="126"/>
              <w:jc w:val="both"/>
              <w:rPr>
                <w:rFonts w:eastAsia="Times New Roman" w:cs="Times New Roman"/>
                <w:szCs w:val="24"/>
                <w:lang w:eastAsia="lv-LV"/>
              </w:rPr>
            </w:pPr>
          </w:p>
        </w:tc>
      </w:tr>
      <w:tr w:rsidR="00014325" w:rsidRPr="002F1FD1" w14:paraId="4F963E66" w14:textId="77777777" w:rsidTr="002F1FD1">
        <w:trPr>
          <w:trHeight w:val="310"/>
        </w:trPr>
        <w:tc>
          <w:tcPr>
            <w:tcW w:w="434" w:type="pct"/>
            <w:tcBorders>
              <w:top w:val="single" w:sz="4" w:space="0" w:color="auto"/>
            </w:tcBorders>
            <w:vAlign w:val="center"/>
          </w:tcPr>
          <w:p w14:paraId="6F564C7C" w14:textId="63C12222" w:rsidR="00014325" w:rsidRPr="002F1FD1" w:rsidRDefault="00014325"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tcBorders>
          </w:tcPr>
          <w:p w14:paraId="5CC12F99" w14:textId="0EEC425D" w:rsidR="00014325" w:rsidRPr="002F1FD1" w:rsidRDefault="00014325" w:rsidP="00014325">
            <w:pPr>
              <w:tabs>
                <w:tab w:val="left" w:pos="1108"/>
              </w:tabs>
              <w:ind w:left="135" w:right="83"/>
              <w:jc w:val="both"/>
              <w:rPr>
                <w:rFonts w:eastAsia="Times New Roman" w:cs="Times New Roman"/>
                <w:szCs w:val="24"/>
                <w:lang w:eastAsia="lv-LV"/>
              </w:rPr>
            </w:pPr>
            <w:r w:rsidRPr="00050CBC">
              <w:rPr>
                <w:rFonts w:cs="Times New Roman"/>
                <w:szCs w:val="24"/>
              </w:rPr>
              <w:t>Pasūtītājs pasūta Preci</w:t>
            </w:r>
            <w:r w:rsidR="008F5E56">
              <w:rPr>
                <w:rFonts w:cs="Times New Roman"/>
                <w:szCs w:val="24"/>
              </w:rPr>
              <w:t xml:space="preserve"> 2</w:t>
            </w:r>
            <w:r w:rsidRPr="00050CBC">
              <w:rPr>
                <w:rFonts w:cs="Times New Roman"/>
                <w:szCs w:val="24"/>
              </w:rPr>
              <w:t xml:space="preserve"> </w:t>
            </w:r>
            <w:r w:rsidR="008F5E56">
              <w:rPr>
                <w:rFonts w:cs="Times New Roman"/>
                <w:szCs w:val="24"/>
              </w:rPr>
              <w:t>(</w:t>
            </w:r>
            <w:r w:rsidR="00720732" w:rsidRPr="00E31CBA">
              <w:rPr>
                <w:rFonts w:cs="Times New Roman"/>
                <w:szCs w:val="24"/>
              </w:rPr>
              <w:t>divus</w:t>
            </w:r>
            <w:r w:rsidR="008F5E56">
              <w:rPr>
                <w:rFonts w:cs="Times New Roman"/>
                <w:szCs w:val="24"/>
              </w:rPr>
              <w:t>)</w:t>
            </w:r>
            <w:r w:rsidR="00720732" w:rsidRPr="00E31CBA">
              <w:rPr>
                <w:rFonts w:cs="Times New Roman"/>
                <w:szCs w:val="24"/>
              </w:rPr>
              <w:t xml:space="preserve"> gadus no līguma spēkā stāšanās dienas atsevišķu piegāžu veidā</w:t>
            </w:r>
            <w:r w:rsidR="00720732" w:rsidRPr="00720732">
              <w:rPr>
                <w:rFonts w:cs="Times New Roman"/>
                <w:szCs w:val="24"/>
              </w:rPr>
              <w:t xml:space="preserve"> </w:t>
            </w:r>
            <w:r w:rsidRPr="00720732">
              <w:rPr>
                <w:rFonts w:cs="Times New Roman"/>
                <w:szCs w:val="24"/>
              </w:rPr>
              <w:t>vai līdz</w:t>
            </w:r>
            <w:r w:rsidRPr="00050CBC">
              <w:rPr>
                <w:rFonts w:cs="Times New Roman"/>
                <w:szCs w:val="24"/>
              </w:rPr>
              <w:t xml:space="preserve"> brīdim, kad Pasūtītājs ir izlietojis līgumā noteikto līguma kopējo summu 9 999,</w:t>
            </w:r>
            <w:r w:rsidR="00472FC6">
              <w:rPr>
                <w:rFonts w:cs="Times New Roman"/>
                <w:szCs w:val="24"/>
              </w:rPr>
              <w:t>99</w:t>
            </w:r>
            <w:r w:rsidRPr="00050CBC">
              <w:rPr>
                <w:rFonts w:cs="Times New Roman"/>
                <w:szCs w:val="24"/>
              </w:rPr>
              <w:t xml:space="preserve"> EUR (deviņi tūkstoši deviņi simti deviņdesmit deviņi  euro un </w:t>
            </w:r>
            <w:r w:rsidR="00472FC6">
              <w:rPr>
                <w:rFonts w:cs="Times New Roman"/>
                <w:szCs w:val="24"/>
              </w:rPr>
              <w:t>99</w:t>
            </w:r>
            <w:r w:rsidRPr="00050CBC">
              <w:rPr>
                <w:rFonts w:cs="Times New Roman"/>
                <w:szCs w:val="24"/>
              </w:rPr>
              <w:t xml:space="preserve"> centi)  bez PVN, atkarībā no tā, kurš no nosacījumiem iestājas pirmais.</w:t>
            </w:r>
          </w:p>
        </w:tc>
        <w:tc>
          <w:tcPr>
            <w:tcW w:w="659" w:type="pct"/>
          </w:tcPr>
          <w:p w14:paraId="7A4BF8D7" w14:textId="77777777" w:rsidR="00014325" w:rsidRPr="002F1FD1" w:rsidRDefault="00014325" w:rsidP="00014325">
            <w:pPr>
              <w:ind w:left="148" w:right="126"/>
              <w:jc w:val="both"/>
              <w:rPr>
                <w:rFonts w:eastAsia="Times New Roman" w:cs="Times New Roman"/>
                <w:szCs w:val="24"/>
                <w:lang w:eastAsia="lv-LV"/>
              </w:rPr>
            </w:pPr>
          </w:p>
        </w:tc>
      </w:tr>
      <w:tr w:rsidR="00014325" w:rsidRPr="002F1FD1" w14:paraId="7D929700" w14:textId="77777777" w:rsidTr="002F1FD1">
        <w:trPr>
          <w:trHeight w:val="310"/>
        </w:trPr>
        <w:tc>
          <w:tcPr>
            <w:tcW w:w="434" w:type="pct"/>
            <w:tcBorders>
              <w:top w:val="single" w:sz="4" w:space="0" w:color="auto"/>
              <w:bottom w:val="single" w:sz="4" w:space="0" w:color="auto"/>
            </w:tcBorders>
            <w:vAlign w:val="center"/>
          </w:tcPr>
          <w:p w14:paraId="51E4B747" w14:textId="618D821C" w:rsidR="00014325" w:rsidRPr="002F1FD1" w:rsidRDefault="00014325"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bottom w:val="single" w:sz="4" w:space="0" w:color="auto"/>
            </w:tcBorders>
          </w:tcPr>
          <w:p w14:paraId="4E581208" w14:textId="33013B84" w:rsidR="00014325" w:rsidRPr="002F1FD1" w:rsidRDefault="00014325" w:rsidP="00014325">
            <w:pPr>
              <w:tabs>
                <w:tab w:val="left" w:pos="1108"/>
              </w:tabs>
              <w:ind w:left="135" w:right="83"/>
              <w:jc w:val="both"/>
              <w:rPr>
                <w:rFonts w:eastAsia="Times New Roman" w:cs="Times New Roman"/>
                <w:szCs w:val="24"/>
                <w:lang w:eastAsia="lv-LV"/>
              </w:rPr>
            </w:pPr>
            <w:r w:rsidRPr="00050CBC">
              <w:rPr>
                <w:rFonts w:cs="Times New Roman"/>
                <w:szCs w:val="24"/>
              </w:rPr>
              <w:t>Pusēm ir tiesības vienpusēji izbeigt līguma darbību, vismaz 30 (trīsdesmit) dienas iepriekš rakstiski paziņojot par to pretendentam.</w:t>
            </w:r>
          </w:p>
        </w:tc>
        <w:tc>
          <w:tcPr>
            <w:tcW w:w="659" w:type="pct"/>
          </w:tcPr>
          <w:p w14:paraId="23B8A4AF" w14:textId="77777777" w:rsidR="00014325" w:rsidRPr="002F1FD1" w:rsidRDefault="00014325" w:rsidP="00014325">
            <w:pPr>
              <w:ind w:left="148" w:right="126"/>
              <w:jc w:val="both"/>
              <w:rPr>
                <w:rFonts w:eastAsia="Times New Roman" w:cs="Times New Roman"/>
                <w:szCs w:val="24"/>
                <w:lang w:eastAsia="lv-LV"/>
              </w:rPr>
            </w:pPr>
          </w:p>
        </w:tc>
      </w:tr>
      <w:tr w:rsidR="00014325" w:rsidRPr="002F1FD1" w14:paraId="6D3E1730" w14:textId="77777777" w:rsidTr="002F1FD1">
        <w:trPr>
          <w:trHeight w:val="310"/>
        </w:trPr>
        <w:tc>
          <w:tcPr>
            <w:tcW w:w="434" w:type="pct"/>
            <w:tcBorders>
              <w:top w:val="single" w:sz="4" w:space="0" w:color="auto"/>
              <w:bottom w:val="single" w:sz="4" w:space="0" w:color="auto"/>
            </w:tcBorders>
            <w:vAlign w:val="center"/>
          </w:tcPr>
          <w:p w14:paraId="334D6DA3" w14:textId="77777777" w:rsidR="00014325" w:rsidRPr="002F1FD1" w:rsidRDefault="00014325"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bottom w:val="single" w:sz="4" w:space="0" w:color="auto"/>
            </w:tcBorders>
          </w:tcPr>
          <w:p w14:paraId="3C73DB09" w14:textId="086223D9" w:rsidR="00014325" w:rsidRPr="002F1FD1" w:rsidRDefault="00014325" w:rsidP="00014325">
            <w:pPr>
              <w:tabs>
                <w:tab w:val="left" w:pos="1108"/>
              </w:tabs>
              <w:ind w:left="135" w:right="83"/>
              <w:jc w:val="both"/>
              <w:rPr>
                <w:rFonts w:eastAsia="Times New Roman" w:cs="Times New Roman"/>
                <w:szCs w:val="24"/>
                <w:lang w:eastAsia="lv-LV"/>
              </w:rPr>
            </w:pPr>
            <w:r w:rsidRPr="00050CBC">
              <w:rPr>
                <w:rFonts w:cs="Times New Roman"/>
                <w:szCs w:val="24"/>
              </w:rPr>
              <w:t>Neskatoties uz līguma izbeigšanu, Pretendents  nodrošina piegādātajai Precei līgumā noteikto garantijas nosacījumu savlaicīgu un kvalitatīvu izpildi</w:t>
            </w:r>
            <w:r w:rsidR="00CA5FC3">
              <w:rPr>
                <w:rFonts w:cs="Times New Roman"/>
                <w:szCs w:val="24"/>
              </w:rPr>
              <w:t xml:space="preserve">, </w:t>
            </w:r>
            <w:r w:rsidR="00CA5FC3" w:rsidRPr="004A1FF1">
              <w:rPr>
                <w:rFonts w:eastAsia="Calibri"/>
                <w:iCs/>
              </w:rPr>
              <w:t xml:space="preserve"> izņemot </w:t>
            </w:r>
            <w:r w:rsidR="00B77A26">
              <w:rPr>
                <w:rFonts w:eastAsia="Calibri"/>
                <w:iCs/>
              </w:rPr>
              <w:t>Tehniskā piedāvājuma</w:t>
            </w:r>
            <w:r w:rsidR="00CA5FC3" w:rsidRPr="004A1FF1">
              <w:rPr>
                <w:rFonts w:eastAsia="Calibri"/>
                <w:iCs/>
              </w:rPr>
              <w:t xml:space="preserve"> </w:t>
            </w:r>
            <w:r w:rsidR="00CA5FC3">
              <w:rPr>
                <w:rFonts w:eastAsia="Calibri"/>
                <w:iCs/>
              </w:rPr>
              <w:t>9</w:t>
            </w:r>
            <w:r w:rsidR="00CA5FC3" w:rsidRPr="004A1FF1">
              <w:rPr>
                <w:rFonts w:eastAsia="Calibri"/>
                <w:iCs/>
              </w:rPr>
              <w:t>.</w:t>
            </w:r>
            <w:r w:rsidR="00CA5FC3">
              <w:rPr>
                <w:rFonts w:eastAsia="Calibri"/>
                <w:iCs/>
              </w:rPr>
              <w:t>6</w:t>
            </w:r>
            <w:r w:rsidR="00CA5FC3" w:rsidRPr="004A1FF1">
              <w:rPr>
                <w:rFonts w:eastAsia="Calibri"/>
                <w:iCs/>
              </w:rPr>
              <w:t>.apakšpunktā noteikto gadījumu.</w:t>
            </w:r>
          </w:p>
        </w:tc>
        <w:tc>
          <w:tcPr>
            <w:tcW w:w="659" w:type="pct"/>
          </w:tcPr>
          <w:p w14:paraId="43A6B36C" w14:textId="77777777" w:rsidR="00014325" w:rsidRPr="002F1FD1" w:rsidRDefault="00014325" w:rsidP="00014325">
            <w:pPr>
              <w:ind w:left="148" w:right="126"/>
              <w:jc w:val="both"/>
              <w:rPr>
                <w:rFonts w:eastAsia="Times New Roman" w:cs="Times New Roman"/>
                <w:szCs w:val="24"/>
                <w:lang w:eastAsia="lv-LV"/>
              </w:rPr>
            </w:pPr>
          </w:p>
        </w:tc>
      </w:tr>
      <w:tr w:rsidR="00014325" w:rsidRPr="002F1FD1" w14:paraId="0F1625D6" w14:textId="77777777" w:rsidTr="002F1FD1">
        <w:trPr>
          <w:trHeight w:val="310"/>
        </w:trPr>
        <w:tc>
          <w:tcPr>
            <w:tcW w:w="434" w:type="pct"/>
            <w:tcBorders>
              <w:top w:val="single" w:sz="4" w:space="0" w:color="auto"/>
              <w:bottom w:val="single" w:sz="4" w:space="0" w:color="auto"/>
            </w:tcBorders>
            <w:vAlign w:val="center"/>
          </w:tcPr>
          <w:p w14:paraId="4320BF47" w14:textId="77777777" w:rsidR="00014325" w:rsidRPr="002F1FD1" w:rsidRDefault="00014325"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bottom w:val="single" w:sz="4" w:space="0" w:color="auto"/>
            </w:tcBorders>
          </w:tcPr>
          <w:p w14:paraId="45CB806E" w14:textId="77777777" w:rsidR="00014325" w:rsidRPr="00050CBC" w:rsidRDefault="00014325" w:rsidP="00014325">
            <w:pPr>
              <w:tabs>
                <w:tab w:val="left" w:pos="1108"/>
              </w:tabs>
              <w:ind w:left="135" w:right="83"/>
              <w:jc w:val="both"/>
              <w:rPr>
                <w:rFonts w:cs="Times New Roman"/>
                <w:strike/>
                <w:szCs w:val="24"/>
              </w:rPr>
            </w:pPr>
            <w:r w:rsidRPr="00050CBC">
              <w:rPr>
                <w:rFonts w:cs="Times New Roman"/>
                <w:szCs w:val="24"/>
              </w:rPr>
              <w:t>Pasūtītājam ar rakstisku paziņojumu ir tiesības vienpusēji izbeigt līguma darbību, 5 (piecas) darba dienas iepriekš rakstiski paziņojot par to  Pretendentam</w:t>
            </w:r>
            <w:r w:rsidRPr="00050CBC" w:rsidDel="007F06A8">
              <w:rPr>
                <w:rFonts w:cs="Times New Roman"/>
                <w:szCs w:val="24"/>
              </w:rPr>
              <w:t xml:space="preserve"> </w:t>
            </w:r>
            <w:r w:rsidRPr="00050CBC">
              <w:rPr>
                <w:rFonts w:cs="Times New Roman"/>
                <w:szCs w:val="24"/>
              </w:rPr>
              <w:t xml:space="preserve"> šādos gadījumos:</w:t>
            </w:r>
          </w:p>
          <w:p w14:paraId="3DB47F5C" w14:textId="183CEF5D" w:rsidR="004F0D2C" w:rsidRPr="00050CBC" w:rsidRDefault="00014325" w:rsidP="00014325">
            <w:pPr>
              <w:tabs>
                <w:tab w:val="left" w:pos="298"/>
              </w:tabs>
              <w:ind w:left="135" w:right="83"/>
              <w:jc w:val="both"/>
              <w:rPr>
                <w:rFonts w:cs="Times New Roman"/>
                <w:szCs w:val="24"/>
              </w:rPr>
            </w:pPr>
            <w:r w:rsidRPr="00050CBC">
              <w:rPr>
                <w:rFonts w:cs="Times New Roman"/>
                <w:szCs w:val="24"/>
              </w:rPr>
              <w:t>-</w:t>
            </w:r>
            <w:r w:rsidRPr="00050CBC">
              <w:rPr>
                <w:rFonts w:cs="Times New Roman"/>
                <w:szCs w:val="24"/>
              </w:rPr>
              <w:tab/>
              <w:t>ja pasludināts  Pretendenta maksātnespējas process;</w:t>
            </w:r>
          </w:p>
          <w:p w14:paraId="5A56E444" w14:textId="74B79401" w:rsidR="00014325" w:rsidRPr="004F0D2C" w:rsidRDefault="00014325" w:rsidP="00515861">
            <w:pPr>
              <w:pStyle w:val="ListParagraph"/>
              <w:numPr>
                <w:ilvl w:val="0"/>
                <w:numId w:val="40"/>
              </w:numPr>
              <w:tabs>
                <w:tab w:val="left" w:pos="298"/>
              </w:tabs>
              <w:ind w:right="83"/>
              <w:jc w:val="both"/>
              <w:rPr>
                <w:rFonts w:eastAsia="Times New Roman" w:cs="Times New Roman"/>
                <w:szCs w:val="24"/>
                <w:lang w:eastAsia="lv-LV"/>
              </w:rPr>
            </w:pPr>
            <w:r w:rsidRPr="004F0D2C">
              <w:rPr>
                <w:rFonts w:cs="Times New Roman"/>
                <w:szCs w:val="24"/>
              </w:rPr>
              <w:t>ja kompetentas valsts vai pašvaldību institūcijas  Pretendenta saimnieciskajā darbībā ir konstatējušas normatīvo aktu pārkāpumus un apturējušas tā darbību.</w:t>
            </w:r>
          </w:p>
        </w:tc>
        <w:tc>
          <w:tcPr>
            <w:tcW w:w="659" w:type="pct"/>
          </w:tcPr>
          <w:p w14:paraId="527FE236" w14:textId="77777777" w:rsidR="00014325" w:rsidRPr="002F1FD1" w:rsidRDefault="00014325" w:rsidP="00014325">
            <w:pPr>
              <w:ind w:left="148" w:right="126"/>
              <w:jc w:val="both"/>
              <w:rPr>
                <w:rFonts w:eastAsia="Times New Roman" w:cs="Times New Roman"/>
                <w:szCs w:val="24"/>
                <w:lang w:eastAsia="lv-LV"/>
              </w:rPr>
            </w:pPr>
          </w:p>
        </w:tc>
      </w:tr>
      <w:tr w:rsidR="00CA5FC3" w:rsidRPr="002F1FD1" w14:paraId="62420D56" w14:textId="77777777" w:rsidTr="002F1FD1">
        <w:trPr>
          <w:trHeight w:val="310"/>
        </w:trPr>
        <w:tc>
          <w:tcPr>
            <w:tcW w:w="434" w:type="pct"/>
            <w:tcBorders>
              <w:top w:val="single" w:sz="4" w:space="0" w:color="auto"/>
              <w:bottom w:val="single" w:sz="4" w:space="0" w:color="auto"/>
            </w:tcBorders>
            <w:vAlign w:val="center"/>
          </w:tcPr>
          <w:p w14:paraId="7EFE6DC6" w14:textId="77777777" w:rsidR="00CA5FC3" w:rsidRPr="002F1FD1" w:rsidRDefault="00CA5FC3"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bottom w:val="single" w:sz="4" w:space="0" w:color="auto"/>
            </w:tcBorders>
          </w:tcPr>
          <w:p w14:paraId="528824AC" w14:textId="54679146" w:rsidR="00CA5FC3" w:rsidRPr="00CA5FC3" w:rsidRDefault="00CA5FC3" w:rsidP="00CA5FC3">
            <w:pPr>
              <w:tabs>
                <w:tab w:val="left" w:pos="1108"/>
              </w:tabs>
              <w:ind w:left="135" w:right="83"/>
              <w:jc w:val="both"/>
              <w:rPr>
                <w:rFonts w:cs="Times New Roman"/>
                <w:szCs w:val="24"/>
              </w:rPr>
            </w:pPr>
            <w:r w:rsidRPr="00CA5FC3">
              <w:rPr>
                <w:rFonts w:cs="Times New Roman"/>
                <w:szCs w:val="24"/>
              </w:rPr>
              <w:t xml:space="preserve">Pasūtītājam ir tiesības vienpusēji izbeigt </w:t>
            </w:r>
            <w:r w:rsidR="00ED1842">
              <w:rPr>
                <w:rFonts w:cs="Times New Roman"/>
                <w:szCs w:val="24"/>
              </w:rPr>
              <w:t>l</w:t>
            </w:r>
            <w:r w:rsidRPr="00CA5FC3">
              <w:rPr>
                <w:rFonts w:cs="Times New Roman"/>
                <w:szCs w:val="24"/>
              </w:rPr>
              <w:t>īguma darbību, vismaz 1 (vienu) darba dienu iepriekš rakstiski paziņojot par to Pretendentam, ja:</w:t>
            </w:r>
          </w:p>
          <w:p w14:paraId="624A9ECA" w14:textId="4F4CB81B" w:rsidR="00CA5FC3" w:rsidRPr="00CA5FC3" w:rsidRDefault="00CA5FC3" w:rsidP="00E31CBA">
            <w:pPr>
              <w:pStyle w:val="ListParagraph"/>
              <w:numPr>
                <w:ilvl w:val="2"/>
                <w:numId w:val="32"/>
              </w:numPr>
              <w:tabs>
                <w:tab w:val="left" w:pos="1108"/>
              </w:tabs>
              <w:ind w:right="83"/>
              <w:jc w:val="both"/>
              <w:rPr>
                <w:rFonts w:cs="Times New Roman"/>
                <w:szCs w:val="24"/>
              </w:rPr>
            </w:pPr>
            <w:r w:rsidRPr="00CA5FC3">
              <w:rPr>
                <w:rFonts w:cs="Times New Roman"/>
                <w:szCs w:val="24"/>
              </w:rPr>
              <w:t xml:space="preserve">atbilstoši Starptautisko un Latvijas Republikas nacionālo sankciju likumam </w:t>
            </w:r>
            <w:r w:rsidR="00ED1842">
              <w:rPr>
                <w:rFonts w:cs="Times New Roman"/>
                <w:szCs w:val="24"/>
              </w:rPr>
              <w:t>Tehniskā piedāvājuma</w:t>
            </w:r>
            <w:r w:rsidRPr="00CA5FC3">
              <w:rPr>
                <w:rFonts w:cs="Times New Roman"/>
                <w:szCs w:val="24"/>
              </w:rPr>
              <w:t xml:space="preserve"> </w:t>
            </w:r>
            <w:r w:rsidR="00C35D02">
              <w:rPr>
                <w:rFonts w:cs="Times New Roman"/>
                <w:szCs w:val="24"/>
              </w:rPr>
              <w:t>7</w:t>
            </w:r>
            <w:r w:rsidRPr="00CA5FC3">
              <w:rPr>
                <w:rFonts w:cs="Times New Roman"/>
                <w:szCs w:val="24"/>
              </w:rPr>
              <w:t>.</w:t>
            </w:r>
            <w:r w:rsidR="00C35D02">
              <w:rPr>
                <w:rFonts w:cs="Times New Roman"/>
                <w:szCs w:val="24"/>
              </w:rPr>
              <w:t>17</w:t>
            </w:r>
            <w:r w:rsidRPr="00CA5FC3">
              <w:rPr>
                <w:rFonts w:cs="Times New Roman"/>
                <w:szCs w:val="24"/>
              </w:rPr>
              <w:t xml:space="preserve">.1.apakšpunktā norādītajiem sankciju subjektiem ir piemērotas starptautiskās vai nacionālās sankcijas vai būtiskas finanšu un kapitāla intereses ietekmējošas Eiropas Savienības un Ziemeļatlantijas līguma organizācijas dalībvalsts noteiktās sankcijas, kuru dēļ </w:t>
            </w:r>
            <w:r w:rsidR="00ED1842">
              <w:rPr>
                <w:rFonts w:cs="Times New Roman"/>
                <w:szCs w:val="24"/>
              </w:rPr>
              <w:t>l</w:t>
            </w:r>
            <w:r w:rsidRPr="00CA5FC3">
              <w:rPr>
                <w:rFonts w:cs="Times New Roman"/>
                <w:szCs w:val="24"/>
              </w:rPr>
              <w:t>īgumu nav iespējams izpildīt vai līguma izpilde tiek būtiski kavēta;</w:t>
            </w:r>
          </w:p>
          <w:p w14:paraId="01C632B4" w14:textId="1FE9AAD0" w:rsidR="00CA5FC3" w:rsidRPr="00CA5FC3" w:rsidRDefault="00CA5FC3" w:rsidP="00E31CBA">
            <w:pPr>
              <w:pStyle w:val="ListParagraph"/>
              <w:numPr>
                <w:ilvl w:val="2"/>
                <w:numId w:val="32"/>
              </w:numPr>
              <w:tabs>
                <w:tab w:val="left" w:pos="1108"/>
              </w:tabs>
              <w:ind w:right="83"/>
              <w:jc w:val="both"/>
              <w:rPr>
                <w:rFonts w:cs="Times New Roman"/>
                <w:szCs w:val="24"/>
              </w:rPr>
            </w:pPr>
            <w:r w:rsidRPr="00CA5FC3">
              <w:rPr>
                <w:rFonts w:cs="Times New Roman"/>
                <w:szCs w:val="24"/>
              </w:rPr>
              <w:t>ja uz Pretendentu līguma spēkā esības laikā iestājas kāds no nosacījumiem, kas izriet no Padomes Regulas (ES) Nr. 833/2014 (2014. gada 31. jūlijs) 5.k. panta 1.punktā noteiktā.</w:t>
            </w:r>
          </w:p>
        </w:tc>
        <w:tc>
          <w:tcPr>
            <w:tcW w:w="659" w:type="pct"/>
          </w:tcPr>
          <w:p w14:paraId="2B93DAEA" w14:textId="77777777" w:rsidR="00CA5FC3" w:rsidRPr="002F1FD1" w:rsidRDefault="00CA5FC3" w:rsidP="00014325">
            <w:pPr>
              <w:ind w:left="148" w:right="126"/>
              <w:jc w:val="both"/>
              <w:rPr>
                <w:rFonts w:eastAsia="Times New Roman" w:cs="Times New Roman"/>
                <w:szCs w:val="24"/>
                <w:lang w:eastAsia="lv-LV"/>
              </w:rPr>
            </w:pPr>
          </w:p>
        </w:tc>
      </w:tr>
      <w:tr w:rsidR="00CA5FC3" w:rsidRPr="002F1FD1" w14:paraId="43CBADED" w14:textId="77777777" w:rsidTr="002F1FD1">
        <w:trPr>
          <w:trHeight w:val="310"/>
        </w:trPr>
        <w:tc>
          <w:tcPr>
            <w:tcW w:w="434" w:type="pct"/>
            <w:tcBorders>
              <w:top w:val="single" w:sz="4" w:space="0" w:color="auto"/>
              <w:bottom w:val="single" w:sz="4" w:space="0" w:color="auto"/>
            </w:tcBorders>
            <w:vAlign w:val="center"/>
          </w:tcPr>
          <w:p w14:paraId="77E0391F" w14:textId="77777777" w:rsidR="00CA5FC3" w:rsidRPr="002F1FD1" w:rsidRDefault="00CA5FC3" w:rsidP="00014325">
            <w:pPr>
              <w:pStyle w:val="ListParagraph"/>
              <w:numPr>
                <w:ilvl w:val="1"/>
                <w:numId w:val="32"/>
              </w:numPr>
              <w:ind w:hanging="578"/>
              <w:rPr>
                <w:rFonts w:eastAsia="Times New Roman" w:cs="Times New Roman"/>
                <w:b/>
                <w:szCs w:val="24"/>
                <w:lang w:eastAsia="lv-LV"/>
              </w:rPr>
            </w:pPr>
          </w:p>
        </w:tc>
        <w:tc>
          <w:tcPr>
            <w:tcW w:w="3907" w:type="pct"/>
            <w:tcBorders>
              <w:top w:val="single" w:sz="4" w:space="0" w:color="auto"/>
              <w:bottom w:val="single" w:sz="4" w:space="0" w:color="auto"/>
            </w:tcBorders>
          </w:tcPr>
          <w:p w14:paraId="6FFC64E0" w14:textId="34173B6E" w:rsidR="00CA5FC3" w:rsidRPr="00CA5FC3" w:rsidRDefault="00CA5FC3" w:rsidP="00CA5FC3">
            <w:pPr>
              <w:tabs>
                <w:tab w:val="left" w:pos="1108"/>
              </w:tabs>
              <w:ind w:left="135" w:right="83"/>
              <w:jc w:val="both"/>
              <w:rPr>
                <w:rFonts w:cs="Times New Roman"/>
                <w:szCs w:val="24"/>
              </w:rPr>
            </w:pPr>
            <w:r w:rsidRPr="00CA5FC3">
              <w:rPr>
                <w:rFonts w:cs="Times New Roman"/>
                <w:szCs w:val="24"/>
              </w:rPr>
              <w:t xml:space="preserve">Ja Pasūtītājs izbeidz līguma darbību saskaņā ar </w:t>
            </w:r>
            <w:r w:rsidR="00A15CAF">
              <w:rPr>
                <w:rFonts w:cs="Times New Roman"/>
                <w:szCs w:val="24"/>
              </w:rPr>
              <w:t>Tehniskā piedāvājuma</w:t>
            </w:r>
            <w:r w:rsidRPr="00CA5FC3">
              <w:rPr>
                <w:rFonts w:cs="Times New Roman"/>
                <w:szCs w:val="24"/>
              </w:rPr>
              <w:t xml:space="preserve"> </w:t>
            </w:r>
            <w:r>
              <w:rPr>
                <w:rFonts w:cs="Times New Roman"/>
                <w:szCs w:val="24"/>
              </w:rPr>
              <w:t>9</w:t>
            </w:r>
            <w:r w:rsidRPr="00CA5FC3">
              <w:rPr>
                <w:rFonts w:cs="Times New Roman"/>
                <w:szCs w:val="24"/>
              </w:rPr>
              <w:t>.</w:t>
            </w:r>
            <w:r>
              <w:rPr>
                <w:rFonts w:cs="Times New Roman"/>
                <w:szCs w:val="24"/>
              </w:rPr>
              <w:t>5</w:t>
            </w:r>
            <w:r w:rsidRPr="00CA5FC3">
              <w:rPr>
                <w:rFonts w:cs="Times New Roman"/>
                <w:szCs w:val="24"/>
              </w:rPr>
              <w:t xml:space="preserve"> vai </w:t>
            </w:r>
            <w:r>
              <w:rPr>
                <w:rFonts w:cs="Times New Roman"/>
                <w:szCs w:val="24"/>
              </w:rPr>
              <w:t>9</w:t>
            </w:r>
            <w:r w:rsidRPr="00CA5FC3">
              <w:rPr>
                <w:rFonts w:cs="Times New Roman"/>
                <w:szCs w:val="24"/>
              </w:rPr>
              <w:t>.</w:t>
            </w:r>
            <w:r>
              <w:rPr>
                <w:rFonts w:cs="Times New Roman"/>
                <w:szCs w:val="24"/>
              </w:rPr>
              <w:t>6</w:t>
            </w:r>
            <w:r w:rsidRPr="00CA5FC3">
              <w:rPr>
                <w:rFonts w:cs="Times New Roman"/>
                <w:szCs w:val="24"/>
              </w:rPr>
              <w:t>.apakšpunkta nosacījumiem Pretendentam nav tiesības celt nekādas pretenzijas un/vai pieprasīt zaudējumu segšanu no Pasūtītāja saistībā ar līguma izbeigšanu.</w:t>
            </w:r>
          </w:p>
        </w:tc>
        <w:tc>
          <w:tcPr>
            <w:tcW w:w="659" w:type="pct"/>
          </w:tcPr>
          <w:p w14:paraId="40B6E713" w14:textId="77777777" w:rsidR="00CA5FC3" w:rsidRPr="002F1FD1" w:rsidRDefault="00CA5FC3" w:rsidP="00014325">
            <w:pPr>
              <w:ind w:left="148" w:right="126"/>
              <w:jc w:val="both"/>
              <w:rPr>
                <w:rFonts w:eastAsia="Times New Roman" w:cs="Times New Roman"/>
                <w:szCs w:val="24"/>
                <w:lang w:eastAsia="lv-LV"/>
              </w:rPr>
            </w:pPr>
          </w:p>
        </w:tc>
      </w:tr>
      <w:tr w:rsidR="00014325" w:rsidRPr="002F1FD1" w14:paraId="5F51BA9D" w14:textId="77777777" w:rsidTr="002F1FD1">
        <w:trPr>
          <w:trHeight w:val="310"/>
        </w:trPr>
        <w:tc>
          <w:tcPr>
            <w:tcW w:w="434" w:type="pct"/>
            <w:tcBorders>
              <w:top w:val="single" w:sz="4" w:space="0" w:color="auto"/>
              <w:bottom w:val="single" w:sz="4" w:space="0" w:color="auto"/>
            </w:tcBorders>
            <w:shd w:val="clear" w:color="auto" w:fill="D9D9D9" w:themeFill="background1" w:themeFillShade="D9"/>
            <w:vAlign w:val="center"/>
          </w:tcPr>
          <w:p w14:paraId="68CF6174" w14:textId="7A5F1525" w:rsidR="00014325" w:rsidRPr="002F1FD1" w:rsidRDefault="00014325" w:rsidP="00014325">
            <w:pPr>
              <w:rPr>
                <w:rFonts w:eastAsia="Times New Roman" w:cs="Times New Roman"/>
                <w:b/>
                <w:szCs w:val="24"/>
                <w:lang w:eastAsia="lv-LV"/>
              </w:rPr>
            </w:pPr>
            <w:r w:rsidRPr="002F1FD1">
              <w:rPr>
                <w:rFonts w:eastAsia="Times New Roman" w:cs="Times New Roman"/>
                <w:b/>
                <w:szCs w:val="24"/>
                <w:lang w:eastAsia="lv-LV"/>
              </w:rPr>
              <w:t xml:space="preserve"> 1</w:t>
            </w:r>
            <w:r w:rsidR="00050CBC">
              <w:rPr>
                <w:rFonts w:eastAsia="Times New Roman" w:cs="Times New Roman"/>
                <w:b/>
                <w:szCs w:val="24"/>
                <w:lang w:eastAsia="lv-LV"/>
              </w:rPr>
              <w:t>0</w:t>
            </w:r>
            <w:r w:rsidRPr="002F1FD1">
              <w:rPr>
                <w:rFonts w:eastAsia="Times New Roman" w:cs="Times New Roman"/>
                <w:b/>
                <w:szCs w:val="24"/>
                <w:lang w:eastAsia="lv-LV"/>
              </w:rPr>
              <w:t>.</w:t>
            </w:r>
          </w:p>
        </w:tc>
        <w:tc>
          <w:tcPr>
            <w:tcW w:w="4566" w:type="pct"/>
            <w:gridSpan w:val="2"/>
            <w:tcBorders>
              <w:top w:val="single" w:sz="4" w:space="0" w:color="auto"/>
              <w:bottom w:val="single" w:sz="4" w:space="0" w:color="auto"/>
            </w:tcBorders>
            <w:shd w:val="clear" w:color="auto" w:fill="D9D9D9" w:themeFill="background1" w:themeFillShade="D9"/>
          </w:tcPr>
          <w:p w14:paraId="39E69E3F" w14:textId="698B937F" w:rsidR="00014325" w:rsidRPr="002F1FD1" w:rsidRDefault="00014325" w:rsidP="00014325">
            <w:pPr>
              <w:ind w:left="148" w:right="126"/>
              <w:jc w:val="both"/>
              <w:rPr>
                <w:rFonts w:eastAsia="Times New Roman" w:cs="Times New Roman"/>
                <w:szCs w:val="24"/>
                <w:lang w:eastAsia="lv-LV"/>
              </w:rPr>
            </w:pPr>
            <w:r w:rsidRPr="002F1FD1">
              <w:rPr>
                <w:rFonts w:eastAsia="Times New Roman" w:cs="Times New Roman"/>
                <w:b/>
                <w:bCs/>
                <w:szCs w:val="24"/>
                <w:lang w:eastAsia="lv-LV"/>
              </w:rPr>
              <w:t>Pretendenta atbilstība</w:t>
            </w:r>
            <w:r w:rsidRPr="00050CBC">
              <w:rPr>
                <w:rFonts w:eastAsia="Times New Roman" w:cs="Times New Roman"/>
                <w:szCs w:val="24"/>
              </w:rPr>
              <w:t xml:space="preserve"> </w:t>
            </w:r>
            <w:r w:rsidRPr="002F1FD1">
              <w:rPr>
                <w:rFonts w:eastAsia="Times New Roman" w:cs="Times New Roman"/>
                <w:b/>
                <w:bCs/>
                <w:szCs w:val="24"/>
                <w:lang w:eastAsia="lv-LV"/>
              </w:rPr>
              <w:t>profesionālās darbības veikšanai</w:t>
            </w:r>
          </w:p>
        </w:tc>
      </w:tr>
      <w:tr w:rsidR="00014325" w:rsidRPr="002F1FD1" w14:paraId="36F0E2DB" w14:textId="77777777" w:rsidTr="002F1FD1">
        <w:trPr>
          <w:trHeight w:val="310"/>
        </w:trPr>
        <w:tc>
          <w:tcPr>
            <w:tcW w:w="434" w:type="pct"/>
            <w:tcBorders>
              <w:top w:val="single" w:sz="4" w:space="0" w:color="auto"/>
              <w:bottom w:val="single" w:sz="4" w:space="0" w:color="auto"/>
            </w:tcBorders>
            <w:vAlign w:val="center"/>
          </w:tcPr>
          <w:p w14:paraId="3A506B97" w14:textId="2CBB2347" w:rsidR="00014325" w:rsidRPr="002F1FD1" w:rsidRDefault="00014325" w:rsidP="00014325">
            <w:pPr>
              <w:rPr>
                <w:rFonts w:eastAsia="Times New Roman" w:cs="Times New Roman"/>
                <w:bCs/>
                <w:szCs w:val="24"/>
                <w:lang w:eastAsia="lv-LV"/>
              </w:rPr>
            </w:pPr>
            <w:r w:rsidRPr="002F1FD1">
              <w:rPr>
                <w:rFonts w:eastAsia="Times New Roman" w:cs="Times New Roman"/>
                <w:bCs/>
                <w:szCs w:val="24"/>
                <w:lang w:eastAsia="lv-LV"/>
              </w:rPr>
              <w:t xml:space="preserve"> 1</w:t>
            </w:r>
            <w:r w:rsidR="00050CBC">
              <w:rPr>
                <w:rFonts w:eastAsia="Times New Roman" w:cs="Times New Roman"/>
                <w:bCs/>
                <w:szCs w:val="24"/>
                <w:lang w:eastAsia="lv-LV"/>
              </w:rPr>
              <w:t>0</w:t>
            </w:r>
            <w:r w:rsidRPr="002F1FD1">
              <w:rPr>
                <w:rFonts w:eastAsia="Times New Roman" w:cs="Times New Roman"/>
                <w:bCs/>
                <w:szCs w:val="24"/>
                <w:lang w:eastAsia="lv-LV"/>
              </w:rPr>
              <w:t>.1.</w:t>
            </w:r>
          </w:p>
        </w:tc>
        <w:tc>
          <w:tcPr>
            <w:tcW w:w="4566" w:type="pct"/>
            <w:gridSpan w:val="2"/>
            <w:tcBorders>
              <w:top w:val="single" w:sz="4" w:space="0" w:color="auto"/>
              <w:bottom w:val="single" w:sz="4" w:space="0" w:color="auto"/>
            </w:tcBorders>
          </w:tcPr>
          <w:p w14:paraId="6E3BD459" w14:textId="77777777" w:rsidR="00014325" w:rsidRPr="002F1FD1" w:rsidRDefault="00014325" w:rsidP="00014325">
            <w:pPr>
              <w:tabs>
                <w:tab w:val="left" w:pos="1108"/>
              </w:tabs>
              <w:ind w:left="135" w:right="83"/>
              <w:jc w:val="both"/>
              <w:rPr>
                <w:rFonts w:eastAsia="Times New Roman" w:cs="Times New Roman"/>
                <w:bCs/>
                <w:szCs w:val="24"/>
                <w:lang w:eastAsia="lv-LV"/>
              </w:rPr>
            </w:pPr>
            <w:r w:rsidRPr="002F1FD1">
              <w:rPr>
                <w:rFonts w:eastAsia="Times New Roman" w:cs="Times New Roman"/>
                <w:bCs/>
                <w:szCs w:val="24"/>
                <w:lang w:eastAsia="lv-LV"/>
              </w:rPr>
              <w:t xml:space="preserve">Pretendents ir Latvijas Republikas Uzņēmumu reģistra Komercreģistrā reģistrēts komersants. </w:t>
            </w:r>
          </w:p>
          <w:p w14:paraId="3A3C50B4" w14:textId="084E525F" w:rsidR="00014325" w:rsidRPr="002F1FD1" w:rsidRDefault="00014325" w:rsidP="00014325">
            <w:pPr>
              <w:ind w:left="148" w:right="126"/>
              <w:jc w:val="both"/>
              <w:rPr>
                <w:rFonts w:eastAsia="Times New Roman" w:cs="Times New Roman"/>
                <w:b/>
                <w:bCs/>
                <w:szCs w:val="24"/>
                <w:lang w:eastAsia="lv-LV"/>
              </w:rPr>
            </w:pPr>
            <w:r w:rsidRPr="002F1FD1">
              <w:rPr>
                <w:rFonts w:eastAsia="Times New Roman" w:cs="Times New Roman"/>
                <w:bCs/>
                <w:i/>
                <w:iCs/>
                <w:szCs w:val="24"/>
                <w:lang w:eastAsia="lv-LV"/>
              </w:rPr>
              <w:t>Informācija tiks pārbaudīta Latvijas Republikas Uzņēmumu reģistra vestajos reģistros.</w:t>
            </w:r>
          </w:p>
        </w:tc>
      </w:tr>
      <w:tr w:rsidR="00014325" w:rsidRPr="002F1FD1" w14:paraId="48523F25" w14:textId="77777777" w:rsidTr="002F1FD1">
        <w:trPr>
          <w:trHeight w:val="310"/>
        </w:trPr>
        <w:tc>
          <w:tcPr>
            <w:tcW w:w="434" w:type="pct"/>
            <w:tcBorders>
              <w:top w:val="single" w:sz="4" w:space="0" w:color="auto"/>
              <w:bottom w:val="single" w:sz="4" w:space="0" w:color="auto"/>
            </w:tcBorders>
            <w:vAlign w:val="center"/>
          </w:tcPr>
          <w:p w14:paraId="0597F1CC" w14:textId="224537EE" w:rsidR="00014325" w:rsidRPr="002F1FD1" w:rsidRDefault="00014325" w:rsidP="00014325">
            <w:pPr>
              <w:rPr>
                <w:rFonts w:eastAsia="Times New Roman" w:cs="Times New Roman"/>
                <w:bCs/>
                <w:szCs w:val="24"/>
                <w:lang w:eastAsia="lv-LV"/>
              </w:rPr>
            </w:pPr>
            <w:r w:rsidRPr="002F1FD1">
              <w:rPr>
                <w:rFonts w:eastAsia="Times New Roman" w:cs="Times New Roman"/>
                <w:bCs/>
                <w:szCs w:val="24"/>
                <w:lang w:eastAsia="lv-LV"/>
              </w:rPr>
              <w:t xml:space="preserve"> 1</w:t>
            </w:r>
            <w:r w:rsidR="00050CBC">
              <w:rPr>
                <w:rFonts w:eastAsia="Times New Roman" w:cs="Times New Roman"/>
                <w:bCs/>
                <w:szCs w:val="24"/>
                <w:lang w:eastAsia="lv-LV"/>
              </w:rPr>
              <w:t>0</w:t>
            </w:r>
            <w:r w:rsidRPr="002F1FD1">
              <w:rPr>
                <w:rFonts w:eastAsia="Times New Roman" w:cs="Times New Roman"/>
                <w:bCs/>
                <w:szCs w:val="24"/>
                <w:lang w:eastAsia="lv-LV"/>
              </w:rPr>
              <w:t>.2.</w:t>
            </w:r>
          </w:p>
        </w:tc>
        <w:tc>
          <w:tcPr>
            <w:tcW w:w="4566" w:type="pct"/>
            <w:gridSpan w:val="2"/>
            <w:tcBorders>
              <w:top w:val="single" w:sz="4" w:space="0" w:color="auto"/>
              <w:bottom w:val="single" w:sz="4" w:space="0" w:color="auto"/>
            </w:tcBorders>
          </w:tcPr>
          <w:p w14:paraId="3FBAB9B0" w14:textId="77777777" w:rsidR="00014325" w:rsidRPr="002F1FD1" w:rsidRDefault="00014325" w:rsidP="00014325">
            <w:pPr>
              <w:tabs>
                <w:tab w:val="left" w:pos="1108"/>
              </w:tabs>
              <w:ind w:left="135" w:right="83"/>
              <w:jc w:val="both"/>
              <w:rPr>
                <w:rFonts w:eastAsia="Times New Roman" w:cs="Times New Roman"/>
                <w:bCs/>
                <w:szCs w:val="24"/>
                <w:lang w:eastAsia="lv-LV"/>
              </w:rPr>
            </w:pPr>
            <w:r w:rsidRPr="002F1FD1">
              <w:rPr>
                <w:rFonts w:eastAsia="Times New Roman" w:cs="Times New Roman"/>
                <w:bCs/>
                <w:szCs w:val="24"/>
                <w:lang w:eastAsia="lv-LV"/>
              </w:rPr>
              <w:t xml:space="preserve">Pretendents ir fiziskā persona, kura reģistrēta kā saimnieciskās darbības veicēja, – ir reģistrēta VID kā nodokļu maksātāja. </w:t>
            </w:r>
          </w:p>
          <w:p w14:paraId="3123DFEC" w14:textId="79727119" w:rsidR="00014325" w:rsidRPr="002F1FD1" w:rsidRDefault="00014325" w:rsidP="00014325">
            <w:pPr>
              <w:ind w:left="148" w:right="126"/>
              <w:jc w:val="both"/>
              <w:rPr>
                <w:rFonts w:eastAsia="Times New Roman" w:cs="Times New Roman"/>
                <w:b/>
                <w:bCs/>
                <w:szCs w:val="24"/>
                <w:lang w:eastAsia="lv-LV"/>
              </w:rPr>
            </w:pPr>
            <w:r w:rsidRPr="002F1FD1">
              <w:rPr>
                <w:rFonts w:eastAsia="Times New Roman" w:cs="Times New Roman"/>
                <w:bCs/>
                <w:i/>
                <w:iCs/>
                <w:szCs w:val="24"/>
                <w:lang w:eastAsia="lv-LV"/>
              </w:rPr>
              <w:t>Informācija tiks pārbaudīta Valsts ieņēmumu dienesta publiski pieejamā datubāzē.</w:t>
            </w:r>
          </w:p>
        </w:tc>
      </w:tr>
      <w:tr w:rsidR="00014325" w:rsidRPr="002F1FD1" w14:paraId="646B2E55" w14:textId="77777777" w:rsidTr="002F1FD1">
        <w:trPr>
          <w:trHeight w:val="310"/>
        </w:trPr>
        <w:tc>
          <w:tcPr>
            <w:tcW w:w="434" w:type="pct"/>
            <w:tcBorders>
              <w:top w:val="single" w:sz="4" w:space="0" w:color="auto"/>
              <w:bottom w:val="single" w:sz="4" w:space="0" w:color="auto"/>
            </w:tcBorders>
            <w:vAlign w:val="center"/>
          </w:tcPr>
          <w:p w14:paraId="7FFA5324" w14:textId="547F76D5" w:rsidR="00014325" w:rsidRPr="002F1FD1" w:rsidRDefault="00014325" w:rsidP="00014325">
            <w:pPr>
              <w:rPr>
                <w:rFonts w:eastAsia="Times New Roman" w:cs="Times New Roman"/>
                <w:bCs/>
                <w:szCs w:val="24"/>
                <w:lang w:eastAsia="lv-LV"/>
              </w:rPr>
            </w:pPr>
            <w:r w:rsidRPr="002F1FD1">
              <w:rPr>
                <w:rFonts w:eastAsia="Times New Roman" w:cs="Times New Roman"/>
                <w:bCs/>
                <w:szCs w:val="24"/>
                <w:lang w:eastAsia="lv-LV"/>
              </w:rPr>
              <w:t xml:space="preserve"> 1</w:t>
            </w:r>
            <w:r w:rsidR="00050CBC">
              <w:rPr>
                <w:rFonts w:eastAsia="Times New Roman" w:cs="Times New Roman"/>
                <w:bCs/>
                <w:szCs w:val="24"/>
                <w:lang w:eastAsia="lv-LV"/>
              </w:rPr>
              <w:t>0</w:t>
            </w:r>
            <w:r w:rsidRPr="002F1FD1">
              <w:rPr>
                <w:rFonts w:eastAsia="Times New Roman" w:cs="Times New Roman"/>
                <w:bCs/>
                <w:szCs w:val="24"/>
                <w:lang w:eastAsia="lv-LV"/>
              </w:rPr>
              <w:t>.3.</w:t>
            </w:r>
          </w:p>
        </w:tc>
        <w:tc>
          <w:tcPr>
            <w:tcW w:w="4566" w:type="pct"/>
            <w:gridSpan w:val="2"/>
            <w:tcBorders>
              <w:top w:val="single" w:sz="4" w:space="0" w:color="auto"/>
              <w:bottom w:val="single" w:sz="4" w:space="0" w:color="auto"/>
            </w:tcBorders>
          </w:tcPr>
          <w:p w14:paraId="3669B5F5" w14:textId="77777777" w:rsidR="00014325" w:rsidRPr="002F1FD1" w:rsidRDefault="00014325" w:rsidP="00014325">
            <w:pPr>
              <w:tabs>
                <w:tab w:val="left" w:pos="1108"/>
              </w:tabs>
              <w:ind w:left="135" w:right="83"/>
              <w:jc w:val="both"/>
              <w:rPr>
                <w:rFonts w:cs="Times New Roman"/>
                <w:szCs w:val="24"/>
              </w:rPr>
            </w:pPr>
            <w:r w:rsidRPr="002F1FD1">
              <w:rPr>
                <w:rFonts w:cs="Times New Roman"/>
                <w:szCs w:val="24"/>
              </w:rPr>
              <w:t>Pretendents ir ārvalstī reģistrēta vai pastāvīgi dzīvojoša persona.</w:t>
            </w:r>
          </w:p>
          <w:p w14:paraId="415491D3" w14:textId="107644CF" w:rsidR="00014325" w:rsidRPr="002F1FD1" w:rsidRDefault="00014325" w:rsidP="00014325">
            <w:pPr>
              <w:ind w:left="148" w:right="126"/>
              <w:jc w:val="both"/>
              <w:rPr>
                <w:rFonts w:eastAsia="Times New Roman" w:cs="Times New Roman"/>
                <w:b/>
                <w:bCs/>
                <w:szCs w:val="24"/>
                <w:lang w:eastAsia="lv-LV"/>
              </w:rPr>
            </w:pPr>
            <w:r w:rsidRPr="002F1FD1">
              <w:rPr>
                <w:rFonts w:eastAsia="Times New Roman" w:cs="Times New Roman"/>
                <w:i/>
                <w:iCs/>
                <w:szCs w:val="24"/>
                <w:lang w:eastAsia="lv-LV"/>
              </w:rPr>
              <w:lastRenderedPageBreak/>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7BB7DB80" w14:textId="77777777" w:rsidR="00D01AAD" w:rsidRPr="00326F16" w:rsidRDefault="00D01AAD" w:rsidP="00D01AAD">
      <w:pPr>
        <w:rPr>
          <w:rFonts w:eastAsia="Times New Roman" w:cs="Times New Roman"/>
          <w:b/>
          <w:szCs w:val="24"/>
          <w:lang w:eastAsia="lv-LV"/>
        </w:rPr>
      </w:pPr>
    </w:p>
    <w:p w14:paraId="527EB0A9" w14:textId="7D19DAB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0" w:name="_Hlk141971361"/>
      <w:r w:rsidRPr="00A0540A">
        <w:rPr>
          <w:rFonts w:cs="Times New Roman"/>
          <w:szCs w:val="24"/>
        </w:rPr>
        <w:t>Valsts ieņēmumu dienesta</w:t>
      </w:r>
      <w:r>
        <w:rPr>
          <w:rFonts w:cs="Times New Roman"/>
          <w:szCs w:val="24"/>
        </w:rPr>
        <w:t xml:space="preserve"> </w:t>
      </w:r>
      <w:bookmarkEnd w:id="0"/>
      <w:r>
        <w:rPr>
          <w:rFonts w:cs="Times New Roman"/>
          <w:szCs w:val="24"/>
        </w:rPr>
        <w:t>publiski pieejamās datubāzes,</w:t>
      </w:r>
      <w:r w:rsidRPr="00A0540A">
        <w:rPr>
          <w:rFonts w:cs="Times New Roman"/>
          <w:szCs w:val="24"/>
        </w:rPr>
        <w:t xml:space="preserve"> iegūst informāciju par to, vai pretendentam, </w:t>
      </w:r>
      <w:bookmarkStart w:id="1" w:name="_Hlk141942056"/>
      <w:r w:rsidRPr="00A0540A">
        <w:rPr>
          <w:rFonts w:cs="Times New Roman"/>
          <w:szCs w:val="24"/>
        </w:rPr>
        <w:t xml:space="preserve">kuram būtu piešķiramas Iepirkuma līguma slēgšanas tiesības </w:t>
      </w:r>
      <w:bookmarkEnd w:id="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 w:name="_Hlk141972215"/>
      <w:r w:rsidRPr="0037158A">
        <w:rPr>
          <w:rFonts w:cs="Times New Roman"/>
          <w:szCs w:val="24"/>
        </w:rPr>
        <w:t xml:space="preserve">kas kopsummā pārsniedz 150 euro, </w:t>
      </w:r>
      <w:bookmarkStart w:id="3" w:name="_Hlk141942066"/>
      <w:bookmarkEnd w:id="2"/>
      <w:r w:rsidRPr="0037158A">
        <w:rPr>
          <w:rFonts w:cs="Times New Roman"/>
          <w:szCs w:val="24"/>
        </w:rPr>
        <w:t xml:space="preserve">komisija lūdz 3 (trīs) darba dienu laikā iesniegt </w:t>
      </w:r>
      <w:bookmarkEnd w:id="3"/>
      <w:r w:rsidRPr="0037158A">
        <w:rPr>
          <w:rFonts w:cs="Times New Roman"/>
          <w:szCs w:val="24"/>
        </w:rPr>
        <w:t xml:space="preserve">izdruku no Valsts ieņēmumu dienesta elektroniskās deklarēšanas sistēmas par to, ka </w:t>
      </w:r>
      <w:bookmarkStart w:id="4" w:name="_Hlk141942113"/>
      <w:r w:rsidRPr="0037158A">
        <w:rPr>
          <w:rFonts w:cs="Times New Roman"/>
          <w:szCs w:val="24"/>
        </w:rPr>
        <w:t xml:space="preserve">pretendentam dienā, kad pieņemts lēmums par iespējamu līguma slēgšanas tiesību piešķiršanu, </w:t>
      </w:r>
      <w:bookmarkEnd w:id="4"/>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19CAEBA1" w:rsidR="0037158A" w:rsidRPr="00E31CBA" w:rsidRDefault="00896B8A" w:rsidP="0037158A">
      <w:pPr>
        <w:pStyle w:val="ListParagraph"/>
        <w:numPr>
          <w:ilvl w:val="1"/>
          <w:numId w:val="1"/>
        </w:numPr>
        <w:tabs>
          <w:tab w:val="left" w:pos="1276"/>
        </w:tabs>
        <w:ind w:left="0" w:firstLine="709"/>
        <w:jc w:val="both"/>
      </w:pPr>
      <w:bookmarkStart w:id="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6" w:name="_Hlk141942561"/>
      <w:r>
        <w:rPr>
          <w:bCs/>
        </w:rPr>
        <w:t>kuram</w:t>
      </w:r>
      <w:r w:rsidRPr="00CA283C">
        <w:rPr>
          <w:bCs/>
        </w:rPr>
        <w:t xml:space="preserve"> būtu piešķiramas līguma slēgšanas tiesības</w:t>
      </w:r>
      <w:bookmarkEnd w:id="6"/>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7"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7"/>
    <w:p w14:paraId="4E098E40" w14:textId="5C0C7FF2" w:rsidR="0037158A" w:rsidRDefault="0037158A" w:rsidP="0037158A">
      <w:pPr>
        <w:jc w:val="center"/>
        <w:rPr>
          <w:rFonts w:eastAsia="Times New Roman" w:cs="Times New Roman"/>
          <w:b/>
          <w:caps/>
          <w:sz w:val="28"/>
          <w:szCs w:val="28"/>
          <w:lang w:eastAsia="lv-LV"/>
        </w:rPr>
      </w:pPr>
    </w:p>
    <w:p w14:paraId="66955F19" w14:textId="77777777" w:rsidR="00E31CBA" w:rsidRDefault="00E31CBA" w:rsidP="0037158A">
      <w:pPr>
        <w:jc w:val="center"/>
        <w:rPr>
          <w:rFonts w:eastAsia="Times New Roman" w:cs="Times New Roman"/>
          <w:b/>
          <w:caps/>
          <w:sz w:val="28"/>
          <w:szCs w:val="28"/>
          <w:lang w:eastAsia="lv-LV"/>
        </w:rPr>
      </w:pPr>
    </w:p>
    <w:p w14:paraId="530F46E7" w14:textId="77777777" w:rsidR="00E31CBA" w:rsidRDefault="00E31CBA" w:rsidP="0037158A">
      <w:pPr>
        <w:jc w:val="center"/>
        <w:rPr>
          <w:rFonts w:eastAsia="Times New Roman" w:cs="Times New Roman"/>
          <w:b/>
          <w:caps/>
          <w:sz w:val="28"/>
          <w:szCs w:val="28"/>
          <w:lang w:eastAsia="lv-LV"/>
        </w:rPr>
      </w:pPr>
    </w:p>
    <w:p w14:paraId="189ED92D" w14:textId="0C1FEE27" w:rsidR="00936765" w:rsidRDefault="00BA6247" w:rsidP="006A176E">
      <w:pPr>
        <w:pStyle w:val="Heading2"/>
        <w:numPr>
          <w:ilvl w:val="0"/>
          <w:numId w:val="1"/>
        </w:numPr>
        <w:tabs>
          <w:tab w:val="clear" w:pos="567"/>
          <w:tab w:val="left" w:pos="426"/>
        </w:tabs>
        <w:ind w:left="567"/>
        <w:jc w:val="center"/>
        <w:rPr>
          <w:sz w:val="28"/>
          <w:szCs w:val="28"/>
        </w:rPr>
      </w:pPr>
      <w:bookmarkStart w:id="8"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8"/>
    </w:p>
    <w:p w14:paraId="400006AA" w14:textId="77777777" w:rsidR="00E31CBA" w:rsidRPr="00E31CBA" w:rsidRDefault="00E31CBA" w:rsidP="00E31CBA"/>
    <w:p w14:paraId="4F136C2B" w14:textId="60528FDE" w:rsidR="00515861" w:rsidRDefault="00515861" w:rsidP="00C31609">
      <w:pPr>
        <w:tabs>
          <w:tab w:val="left" w:pos="709"/>
          <w:tab w:val="left" w:pos="1560"/>
          <w:tab w:val="center" w:pos="4320"/>
          <w:tab w:val="left" w:pos="6096"/>
          <w:tab w:val="right" w:pos="8640"/>
        </w:tabs>
        <w:ind w:right="-1"/>
        <w:jc w:val="both"/>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pretendenta piedāvājumā norādītajām prasībām un kura piedāvājuma cena ir viszemākā. </w:t>
      </w:r>
    </w:p>
    <w:p w14:paraId="674ED888" w14:textId="3805EC76" w:rsidR="00C31609" w:rsidRDefault="00515861" w:rsidP="00C31609">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515861">
        <w:rPr>
          <w:iCs/>
        </w:rPr>
        <w:t>piedāvā vienādu finanšu piedāvājuma zemāko cenu</w:t>
      </w:r>
      <w:r w:rsidR="00936765" w:rsidRPr="00515861">
        <w:rPr>
          <w:iCs/>
          <w:lang w:eastAsia="lv-LV"/>
        </w:rPr>
        <w:t>,</w:t>
      </w:r>
      <w:r w:rsidR="00936765" w:rsidRPr="00B73374">
        <w:rPr>
          <w:lang w:eastAsia="lv-LV"/>
        </w:rPr>
        <w:t xml:space="preserve"> līguma slēgšanas tiesības tiek piešķirtas pretendentam, </w:t>
      </w:r>
      <w:r w:rsidR="00936765" w:rsidRPr="00720732">
        <w:rPr>
          <w:lang w:eastAsia="lv-LV"/>
        </w:rPr>
        <w:t>kur</w:t>
      </w:r>
      <w:r w:rsidR="00C31609" w:rsidRPr="00720732">
        <w:rPr>
          <w:lang w:eastAsia="lv-LV"/>
        </w:rPr>
        <w:t>š</w:t>
      </w:r>
      <w:r w:rsidR="00C31609" w:rsidRPr="00E31CBA">
        <w:rPr>
          <w:lang w:eastAsia="lv-LV"/>
        </w:rPr>
        <w:t xml:space="preserve"> piedāvājis zemāko cena “Finanšu piedāvājuma” </w:t>
      </w:r>
      <w:r w:rsidRPr="00E31CBA">
        <w:rPr>
          <w:lang w:eastAsia="lv-LV"/>
        </w:rPr>
        <w:t xml:space="preserve">2.tabulas </w:t>
      </w:r>
      <w:r w:rsidR="000017D7" w:rsidRPr="00E31CBA">
        <w:rPr>
          <w:lang w:eastAsia="lv-LV"/>
        </w:rPr>
        <w:t>1</w:t>
      </w:r>
      <w:r w:rsidR="00C31609" w:rsidRPr="00E31CBA">
        <w:rPr>
          <w:lang w:eastAsia="lv-LV"/>
        </w:rPr>
        <w:t>.punktā.</w:t>
      </w:r>
    </w:p>
    <w:p w14:paraId="1D160C8E" w14:textId="2D1AD511" w:rsidR="00111E9E" w:rsidRDefault="00111E9E" w:rsidP="00C31609">
      <w:pPr>
        <w:tabs>
          <w:tab w:val="left" w:pos="709"/>
          <w:tab w:val="left" w:pos="1560"/>
          <w:tab w:val="center" w:pos="4320"/>
          <w:tab w:val="left" w:pos="6096"/>
          <w:tab w:val="right" w:pos="8640"/>
        </w:tabs>
        <w:ind w:right="-1"/>
        <w:jc w:val="both"/>
        <w:rPr>
          <w:lang w:eastAsia="lv-LV"/>
        </w:rPr>
      </w:pPr>
      <w:r>
        <w:rPr>
          <w:lang w:eastAsia="lv-LV"/>
        </w:rPr>
        <w:tab/>
      </w:r>
      <w:r w:rsidRPr="00111E9E">
        <w:rPr>
          <w:b/>
          <w:bCs/>
          <w:lang w:eastAsia="lv-LV"/>
        </w:rPr>
        <w:t>3.3.</w:t>
      </w: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370DA05A" w14:textId="77777777" w:rsidR="006A176E" w:rsidRDefault="006A176E" w:rsidP="00050CBC">
      <w:pPr>
        <w:tabs>
          <w:tab w:val="left" w:pos="709"/>
          <w:tab w:val="left" w:pos="1560"/>
          <w:tab w:val="center" w:pos="4320"/>
          <w:tab w:val="left" w:pos="6096"/>
          <w:tab w:val="right" w:pos="8640"/>
        </w:tabs>
        <w:ind w:right="-1"/>
        <w:jc w:val="both"/>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6B728CC4" w:rsidR="00A259CA" w:rsidRPr="00B66D1E" w:rsidRDefault="00C31609"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427"/>
        <w:gridCol w:w="3260"/>
      </w:tblGrid>
      <w:tr w:rsidR="00C31609" w:rsidRPr="00326F16" w14:paraId="0A9468AE" w14:textId="77777777" w:rsidTr="00515861">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C31609" w:rsidRPr="00326F16" w:rsidRDefault="00C31609" w:rsidP="00C31609">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248F3124" w:rsidR="00C31609" w:rsidRPr="002F1FD1" w:rsidRDefault="00C31609" w:rsidP="00C31609">
            <w:pPr>
              <w:jc w:val="center"/>
              <w:rPr>
                <w:rFonts w:ascii="Times New Roman" w:eastAsia="Times New Roman" w:hAnsi="Times New Roman" w:cs="Times New Roman"/>
                <w:b/>
                <w:sz w:val="24"/>
                <w:szCs w:val="24"/>
              </w:rPr>
            </w:pPr>
            <w:r w:rsidRPr="00050CBC">
              <w:rPr>
                <w:rFonts w:ascii="Times New Roman" w:hAnsi="Times New Roman" w:cs="Times New Roman"/>
                <w:b/>
                <w:sz w:val="24"/>
                <w:szCs w:val="24"/>
              </w:rPr>
              <w:t>Nosaukums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D088D9" w14:textId="77777777" w:rsidR="00C31609" w:rsidRPr="00050CBC" w:rsidRDefault="00C31609" w:rsidP="00C31609">
            <w:pPr>
              <w:jc w:val="center"/>
              <w:rPr>
                <w:rFonts w:ascii="Times New Roman" w:hAnsi="Times New Roman" w:cs="Times New Roman"/>
                <w:b/>
                <w:sz w:val="24"/>
                <w:szCs w:val="24"/>
              </w:rPr>
            </w:pPr>
            <w:r w:rsidRPr="00050CBC">
              <w:rPr>
                <w:rFonts w:ascii="Times New Roman" w:hAnsi="Times New Roman" w:cs="Times New Roman"/>
                <w:b/>
                <w:sz w:val="24"/>
                <w:szCs w:val="24"/>
              </w:rPr>
              <w:t>Cena par 1 (vienu) gab.</w:t>
            </w:r>
          </w:p>
          <w:p w14:paraId="31905EDF" w14:textId="7CCE34D7" w:rsidR="00C31609" w:rsidRPr="002F1FD1" w:rsidRDefault="00C31609" w:rsidP="00C31609">
            <w:pPr>
              <w:jc w:val="center"/>
              <w:rPr>
                <w:rFonts w:ascii="Times New Roman" w:eastAsia="Times New Roman" w:hAnsi="Times New Roman" w:cs="Times New Roman"/>
                <w:b/>
                <w:sz w:val="24"/>
                <w:szCs w:val="24"/>
              </w:rPr>
            </w:pPr>
            <w:r w:rsidRPr="00050CBC">
              <w:rPr>
                <w:rFonts w:ascii="Times New Roman" w:hAnsi="Times New Roman" w:cs="Times New Roman"/>
                <w:b/>
                <w:sz w:val="24"/>
                <w:szCs w:val="24"/>
              </w:rPr>
              <w:t>EUR (bez PVN)</w:t>
            </w:r>
          </w:p>
        </w:tc>
      </w:tr>
      <w:tr w:rsidR="00C31609" w:rsidRPr="00326F16" w14:paraId="7284DAF9" w14:textId="77777777" w:rsidTr="00515861">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C31609" w:rsidRPr="00326F16" w:rsidRDefault="00C31609" w:rsidP="00C31609">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427" w:type="dxa"/>
            <w:tcBorders>
              <w:top w:val="single" w:sz="4" w:space="0" w:color="auto"/>
              <w:left w:val="single" w:sz="4" w:space="0" w:color="auto"/>
              <w:bottom w:val="single" w:sz="4" w:space="0" w:color="auto"/>
              <w:right w:val="single" w:sz="4" w:space="0" w:color="auto"/>
            </w:tcBorders>
            <w:vAlign w:val="center"/>
          </w:tcPr>
          <w:p w14:paraId="33EB6536" w14:textId="25A773C7" w:rsidR="00C31609" w:rsidRPr="00C31609" w:rsidRDefault="00C31609" w:rsidP="00C31609">
            <w:pPr>
              <w:ind w:left="49" w:right="101"/>
              <w:jc w:val="both"/>
              <w:rPr>
                <w:rFonts w:ascii="Times New Roman" w:hAnsi="Times New Roman" w:cs="Times New Roman"/>
                <w:i/>
                <w:sz w:val="24"/>
                <w:szCs w:val="24"/>
              </w:rPr>
            </w:pPr>
            <w:r w:rsidRPr="00050CBC">
              <w:rPr>
                <w:rFonts w:ascii="Times New Roman" w:hAnsi="Times New Roman" w:cs="Times New Roman"/>
                <w:color w:val="000000"/>
                <w:sz w:val="24"/>
                <w:szCs w:val="24"/>
              </w:rPr>
              <w:t>Arhīva lietas vāks</w:t>
            </w:r>
          </w:p>
        </w:tc>
        <w:tc>
          <w:tcPr>
            <w:tcW w:w="3260" w:type="dxa"/>
            <w:tcBorders>
              <w:top w:val="single" w:sz="4" w:space="0" w:color="auto"/>
              <w:left w:val="single" w:sz="4" w:space="0" w:color="auto"/>
              <w:bottom w:val="single" w:sz="4" w:space="0" w:color="auto"/>
              <w:right w:val="single" w:sz="4" w:space="0" w:color="auto"/>
            </w:tcBorders>
            <w:vAlign w:val="center"/>
          </w:tcPr>
          <w:p w14:paraId="68968BFA" w14:textId="77777777" w:rsidR="00C31609" w:rsidRPr="00326F16" w:rsidRDefault="00C31609" w:rsidP="00C31609">
            <w:pPr>
              <w:jc w:val="center"/>
              <w:rPr>
                <w:rFonts w:ascii="Times New Roman" w:eastAsia="Times New Roman" w:hAnsi="Times New Roman" w:cs="Times New Roman"/>
                <w:sz w:val="24"/>
                <w:szCs w:val="24"/>
              </w:rPr>
            </w:pPr>
          </w:p>
        </w:tc>
      </w:tr>
      <w:tr w:rsidR="00C31609" w:rsidRPr="00326F16" w14:paraId="07172927" w14:textId="77777777" w:rsidTr="00515861">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D16489" w14:textId="0DCE0622" w:rsidR="00C31609" w:rsidRPr="00326F16" w:rsidRDefault="00C31609" w:rsidP="00C31609">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2.</w:t>
            </w:r>
          </w:p>
        </w:tc>
        <w:tc>
          <w:tcPr>
            <w:tcW w:w="5427" w:type="dxa"/>
            <w:tcBorders>
              <w:top w:val="single" w:sz="4" w:space="0" w:color="auto"/>
              <w:left w:val="single" w:sz="4" w:space="0" w:color="auto"/>
              <w:bottom w:val="single" w:sz="4" w:space="0" w:color="auto"/>
              <w:right w:val="single" w:sz="4" w:space="0" w:color="auto"/>
            </w:tcBorders>
            <w:vAlign w:val="center"/>
          </w:tcPr>
          <w:p w14:paraId="150AD322" w14:textId="24114D38" w:rsidR="00C31609" w:rsidRPr="00050CBC" w:rsidRDefault="00C31609" w:rsidP="00C31609">
            <w:pPr>
              <w:ind w:left="49" w:right="101"/>
              <w:jc w:val="both"/>
              <w:rPr>
                <w:rFonts w:ascii="Times New Roman" w:hAnsi="Times New Roman" w:cs="Times New Roman"/>
                <w:i/>
                <w:sz w:val="24"/>
                <w:szCs w:val="24"/>
              </w:rPr>
            </w:pPr>
            <w:r w:rsidRPr="00050CBC">
              <w:rPr>
                <w:rFonts w:ascii="Times New Roman" w:hAnsi="Times New Roman" w:cs="Times New Roman"/>
                <w:color w:val="000000"/>
                <w:sz w:val="24"/>
                <w:szCs w:val="24"/>
              </w:rPr>
              <w:t>Krimināllietas vāks</w:t>
            </w:r>
          </w:p>
        </w:tc>
        <w:tc>
          <w:tcPr>
            <w:tcW w:w="3260" w:type="dxa"/>
            <w:tcBorders>
              <w:top w:val="single" w:sz="4" w:space="0" w:color="auto"/>
              <w:left w:val="single" w:sz="4" w:space="0" w:color="auto"/>
              <w:bottom w:val="single" w:sz="4" w:space="0" w:color="auto"/>
              <w:right w:val="single" w:sz="4" w:space="0" w:color="auto"/>
            </w:tcBorders>
            <w:vAlign w:val="center"/>
          </w:tcPr>
          <w:p w14:paraId="5B528077" w14:textId="77777777" w:rsidR="00C31609" w:rsidRPr="00326F16" w:rsidRDefault="00C31609" w:rsidP="00C31609">
            <w:pPr>
              <w:jc w:val="center"/>
              <w:rPr>
                <w:rFonts w:ascii="Times New Roman" w:eastAsia="Times New Roman" w:hAnsi="Times New Roman" w:cs="Times New Roman"/>
                <w:szCs w:val="24"/>
              </w:rPr>
            </w:pPr>
          </w:p>
        </w:tc>
      </w:tr>
      <w:tr w:rsidR="00C31609" w:rsidRPr="00326F16" w14:paraId="35B076EF" w14:textId="77777777" w:rsidTr="00515861">
        <w:trPr>
          <w:trHeight w:val="330"/>
        </w:trPr>
        <w:tc>
          <w:tcPr>
            <w:tcW w:w="60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C31609" w:rsidRPr="00326F16" w:rsidRDefault="00C31609" w:rsidP="00C31609">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C31609" w:rsidRPr="00326F16" w:rsidRDefault="00C31609" w:rsidP="00C31609">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4156E6A9"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0188A24" w:rsidR="00805617" w:rsidRPr="00C31609"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C31609">
        <w:rPr>
          <w:rFonts w:cs="Times New Roman"/>
          <w:szCs w:val="24"/>
        </w:rPr>
        <w:t xml:space="preserve">Pretendenta </w:t>
      </w:r>
      <w:r w:rsidR="0042318C" w:rsidRPr="00C31609">
        <w:rPr>
          <w:rFonts w:cs="Times New Roman"/>
          <w:szCs w:val="24"/>
        </w:rPr>
        <w:t xml:space="preserve">iesniegtajā </w:t>
      </w:r>
      <w:r w:rsidR="00805617" w:rsidRPr="00C31609">
        <w:rPr>
          <w:rFonts w:eastAsia="Times New Roman" w:cs="Times New Roman"/>
          <w:szCs w:val="24"/>
          <w:lang w:eastAsia="lv-LV"/>
        </w:rPr>
        <w:t>finanšu piedāvājumā norādītā cena kopā EUR bez PVN</w:t>
      </w:r>
      <w:r w:rsidR="00BC6432" w:rsidRPr="00C31609">
        <w:rPr>
          <w:rFonts w:eastAsia="Times New Roman" w:cs="Times New Roman"/>
          <w:szCs w:val="24"/>
          <w:lang w:eastAsia="lv-LV"/>
        </w:rPr>
        <w:t xml:space="preserve"> </w:t>
      </w:r>
      <w:r w:rsidR="00B674E6" w:rsidRPr="00050CBC">
        <w:rPr>
          <w:rFonts w:eastAsia="Times New Roman" w:cs="Times New Roman"/>
          <w:szCs w:val="24"/>
          <w:lang w:eastAsia="lv-LV"/>
        </w:rPr>
        <w:t>neveidos</w:t>
      </w:r>
      <w:r w:rsidR="00805617" w:rsidRPr="00050CBC">
        <w:rPr>
          <w:rFonts w:eastAsia="Times New Roman" w:cs="Times New Roman"/>
          <w:szCs w:val="24"/>
          <w:lang w:eastAsia="lv-LV"/>
        </w:rPr>
        <w:t xml:space="preserve"> iepirkuma kopējo cenu EUR bez PVN</w:t>
      </w:r>
      <w:r w:rsidR="00F61D38" w:rsidRPr="00050CBC">
        <w:rPr>
          <w:rFonts w:eastAsia="Times New Roman" w:cs="Times New Roman"/>
          <w:szCs w:val="24"/>
          <w:lang w:eastAsia="lv-LV"/>
        </w:rPr>
        <w:t xml:space="preserve"> un</w:t>
      </w:r>
      <w:r w:rsidR="00805617" w:rsidRPr="00050CBC">
        <w:rPr>
          <w:rFonts w:eastAsia="Times New Roman" w:cs="Times New Roman"/>
          <w:szCs w:val="24"/>
          <w:lang w:eastAsia="lv-LV"/>
        </w:rPr>
        <w:t xml:space="preserve"> tiks izmantota piedāvājum</w:t>
      </w:r>
      <w:r w:rsidR="00E910F0" w:rsidRPr="00050CBC">
        <w:rPr>
          <w:rFonts w:eastAsia="Times New Roman" w:cs="Times New Roman"/>
          <w:szCs w:val="24"/>
          <w:lang w:eastAsia="lv-LV"/>
        </w:rPr>
        <w:t>a ar viszemāko cenu noteikšanai</w:t>
      </w:r>
      <w:r w:rsidR="00B674E6" w:rsidRPr="00C31609">
        <w:rPr>
          <w:rFonts w:eastAsia="Times New Roman" w:cs="Times New Roman"/>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9" w:name="_Hlk142462671"/>
      <w:r w:rsidRPr="00280158">
        <w:rPr>
          <w:rFonts w:eastAsia="Times New Roman" w:cs="Times New Roman"/>
          <w:b/>
          <w:bCs/>
          <w:sz w:val="28"/>
          <w:szCs w:val="28"/>
          <w:lang w:eastAsia="lv-LV"/>
        </w:rPr>
        <w:t>NOSACĪJUMI PIEDĀVĀJUMA IESNIEGŠANAI</w:t>
      </w:r>
    </w:p>
    <w:p w14:paraId="096F106C" w14:textId="77777777" w:rsidR="006F41DC" w:rsidRPr="00014325" w:rsidRDefault="006F41DC" w:rsidP="00014325">
      <w:pPr>
        <w:tabs>
          <w:tab w:val="left" w:pos="1134"/>
        </w:tabs>
        <w:jc w:val="both"/>
        <w:rPr>
          <w:rFonts w:eastAsia="Times New Roman" w:cs="Times New Roman"/>
          <w:szCs w:val="24"/>
          <w:lang w:eastAsia="lv-LV"/>
        </w:rPr>
      </w:pPr>
    </w:p>
    <w:p w14:paraId="0C8C29D1" w14:textId="564D4049" w:rsidR="006A176E" w:rsidRPr="002221B8" w:rsidRDefault="006A176E" w:rsidP="00014325">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0017D7" w:rsidRPr="00E31CBA">
        <w:rPr>
          <w:b/>
          <w:bCs/>
          <w:szCs w:val="24"/>
        </w:rPr>
        <w:t>27. novembra</w:t>
      </w:r>
      <w:r w:rsidRPr="002221B8">
        <w:rPr>
          <w:b/>
          <w:bCs/>
          <w:szCs w:val="24"/>
        </w:rPr>
        <w:t xml:space="preserve"> plkst. 10.00, nosūtot piedāvājumu uz elektroniskā pasta adresi:  </w:t>
      </w:r>
      <w:r w:rsidR="002F1FD1">
        <w:rPr>
          <w:b/>
          <w:bCs/>
          <w:szCs w:val="24"/>
        </w:rPr>
        <w:t>agrita.ozola.1</w:t>
      </w:r>
      <w:r w:rsidR="002F1FD1"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366C79F0"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014325">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0609B871"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0017D7" w:rsidRPr="00E31CBA">
        <w:rPr>
          <w:b/>
          <w:bCs/>
          <w:szCs w:val="24"/>
        </w:rPr>
        <w:t>27. novembra</w:t>
      </w:r>
      <w:r w:rsidRPr="002221B8">
        <w:rPr>
          <w:rFonts w:eastAsia="Times New Roman" w:cs="Times New Roman"/>
          <w:b/>
          <w:bCs/>
          <w:szCs w:val="24"/>
          <w:lang w:eastAsia="lv-LV"/>
        </w:rPr>
        <w:t xml:space="preserve"> no plkst. 10.00 līdz plkst. 1</w:t>
      </w:r>
      <w:r w:rsidR="000017D7">
        <w:rPr>
          <w:rFonts w:eastAsia="Times New Roman" w:cs="Times New Roman"/>
          <w:b/>
          <w:bCs/>
          <w:szCs w:val="24"/>
          <w:lang w:eastAsia="lv-LV"/>
        </w:rPr>
        <w:t>2</w:t>
      </w:r>
      <w:r w:rsidRPr="002221B8">
        <w:rPr>
          <w:rFonts w:eastAsia="Times New Roman" w:cs="Times New Roman"/>
          <w:b/>
          <w:bCs/>
          <w:szCs w:val="24"/>
          <w:lang w:eastAsia="lv-LV"/>
        </w:rPr>
        <w:t>.00 nosūta uz elektronisko pasta adresi</w:t>
      </w:r>
      <w:r w:rsidRPr="002F1FD1">
        <w:rPr>
          <w:rFonts w:eastAsia="Times New Roman" w:cs="Times New Roman"/>
          <w:b/>
          <w:bCs/>
          <w:szCs w:val="24"/>
          <w:lang w:eastAsia="lv-LV"/>
        </w:rPr>
        <w:t xml:space="preserve">: </w:t>
      </w:r>
      <w:r w:rsidR="002F1FD1" w:rsidRPr="00050CBC">
        <w:rPr>
          <w:rFonts w:eastAsia="Times New Roman" w:cs="Times New Roman"/>
          <w:b/>
          <w:bCs/>
          <w:szCs w:val="24"/>
          <w:lang w:eastAsia="lv-LV"/>
        </w:rPr>
        <w:t>agrita.ozola.1</w:t>
      </w:r>
      <w:r w:rsidRPr="002221B8">
        <w:rPr>
          <w:rFonts w:eastAsia="Times New Roman" w:cs="Times New Roman"/>
          <w:b/>
          <w:bCs/>
          <w:szCs w:val="24"/>
          <w:lang w:eastAsia="lv-LV"/>
        </w:rPr>
        <w:t xml:space="preserve">@vid.gov.lv paroli (šifru) šifrētā piedāvājuma atvēršanai. </w:t>
      </w:r>
    </w:p>
    <w:p w14:paraId="72FC3C1E" w14:textId="50A37F7C"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9"/>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FC7C" w14:textId="77777777" w:rsidR="006413CD" w:rsidRDefault="006413CD" w:rsidP="00183526">
      <w:r>
        <w:separator/>
      </w:r>
    </w:p>
  </w:endnote>
  <w:endnote w:type="continuationSeparator" w:id="0">
    <w:p w14:paraId="2DF149D2" w14:textId="77777777" w:rsidR="006413CD" w:rsidRDefault="006413CD" w:rsidP="00183526">
      <w:r>
        <w:continuationSeparator/>
      </w:r>
    </w:p>
  </w:endnote>
  <w:endnote w:type="continuationNotice" w:id="1">
    <w:p w14:paraId="37256766" w14:textId="77777777" w:rsidR="006413CD" w:rsidRDefault="00641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88A4" w14:textId="77777777" w:rsidR="006413CD" w:rsidRDefault="006413CD" w:rsidP="00183526">
      <w:r>
        <w:separator/>
      </w:r>
    </w:p>
  </w:footnote>
  <w:footnote w:type="continuationSeparator" w:id="0">
    <w:p w14:paraId="78CEB7FA" w14:textId="77777777" w:rsidR="006413CD" w:rsidRDefault="006413CD" w:rsidP="00183526">
      <w:r>
        <w:continuationSeparator/>
      </w:r>
    </w:p>
  </w:footnote>
  <w:footnote w:type="continuationNotice" w:id="1">
    <w:p w14:paraId="77482673" w14:textId="77777777" w:rsidR="006413CD" w:rsidRDefault="006413C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000519"/>
    <w:multiLevelType w:val="hybridMultilevel"/>
    <w:tmpl w:val="7FE85D8C"/>
    <w:lvl w:ilvl="0" w:tplc="76ECA670">
      <w:start w:val="1"/>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F3C80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3"/>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1"/>
  </w:num>
  <w:num w:numId="12" w16cid:durableId="1926918543">
    <w:abstractNumId w:val="29"/>
  </w:num>
  <w:num w:numId="13" w16cid:durableId="1606426433">
    <w:abstractNumId w:val="8"/>
  </w:num>
  <w:num w:numId="14" w16cid:durableId="298806307">
    <w:abstractNumId w:val="36"/>
  </w:num>
  <w:num w:numId="15" w16cid:durableId="1364211704">
    <w:abstractNumId w:val="28"/>
  </w:num>
  <w:num w:numId="16" w16cid:durableId="1727993836">
    <w:abstractNumId w:val="26"/>
  </w:num>
  <w:num w:numId="17" w16cid:durableId="185801260">
    <w:abstractNumId w:val="7"/>
  </w:num>
  <w:num w:numId="18" w16cid:durableId="1604146751">
    <w:abstractNumId w:val="5"/>
  </w:num>
  <w:num w:numId="19" w16cid:durableId="82386620">
    <w:abstractNumId w:val="37"/>
  </w:num>
  <w:num w:numId="20" w16cid:durableId="791241671">
    <w:abstractNumId w:val="2"/>
  </w:num>
  <w:num w:numId="21" w16cid:durableId="1472362145">
    <w:abstractNumId w:val="17"/>
  </w:num>
  <w:num w:numId="22" w16cid:durableId="1099524379">
    <w:abstractNumId w:val="31"/>
  </w:num>
  <w:num w:numId="23" w16cid:durableId="122433928">
    <w:abstractNumId w:val="25"/>
  </w:num>
  <w:num w:numId="24" w16cid:durableId="1359232207">
    <w:abstractNumId w:val="35"/>
  </w:num>
  <w:num w:numId="25" w16cid:durableId="303237464">
    <w:abstractNumId w:val="9"/>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2"/>
  </w:num>
  <w:num w:numId="32" w16cid:durableId="911039321">
    <w:abstractNumId w:val="27"/>
  </w:num>
  <w:num w:numId="33" w16cid:durableId="2107341477">
    <w:abstractNumId w:val="24"/>
  </w:num>
  <w:num w:numId="34" w16cid:durableId="1821925811">
    <w:abstractNumId w:val="0"/>
  </w:num>
  <w:num w:numId="35" w16cid:durableId="838889223">
    <w:abstractNumId w:val="30"/>
  </w:num>
  <w:num w:numId="36" w16cid:durableId="1652055705">
    <w:abstractNumId w:val="22"/>
  </w:num>
  <w:num w:numId="37" w16cid:durableId="1669020823">
    <w:abstractNumId w:val="0"/>
  </w:num>
  <w:num w:numId="38" w16cid:durableId="1021661606">
    <w:abstractNumId w:val="0"/>
  </w:num>
  <w:num w:numId="39" w16cid:durableId="206072610">
    <w:abstractNumId w:val="10"/>
  </w:num>
  <w:num w:numId="40" w16cid:durableId="164638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7D7"/>
    <w:rsid w:val="00002007"/>
    <w:rsid w:val="00002C22"/>
    <w:rsid w:val="000059E0"/>
    <w:rsid w:val="00005E79"/>
    <w:rsid w:val="00006C2C"/>
    <w:rsid w:val="00007175"/>
    <w:rsid w:val="00010EA7"/>
    <w:rsid w:val="000128BA"/>
    <w:rsid w:val="000134CD"/>
    <w:rsid w:val="00014325"/>
    <w:rsid w:val="00014CEA"/>
    <w:rsid w:val="00014DFD"/>
    <w:rsid w:val="000253D3"/>
    <w:rsid w:val="00025B6C"/>
    <w:rsid w:val="00032351"/>
    <w:rsid w:val="000341F3"/>
    <w:rsid w:val="00034770"/>
    <w:rsid w:val="00050CBC"/>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5054"/>
    <w:rsid w:val="001026E7"/>
    <w:rsid w:val="0010542E"/>
    <w:rsid w:val="00111E9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04D9"/>
    <w:rsid w:val="001C28B3"/>
    <w:rsid w:val="001C327F"/>
    <w:rsid w:val="001D0800"/>
    <w:rsid w:val="001D08A3"/>
    <w:rsid w:val="001D313D"/>
    <w:rsid w:val="001D6A6E"/>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7A"/>
    <w:rsid w:val="002A72E0"/>
    <w:rsid w:val="002B0FCF"/>
    <w:rsid w:val="002B334F"/>
    <w:rsid w:val="002B79AD"/>
    <w:rsid w:val="002C3CA6"/>
    <w:rsid w:val="002D2490"/>
    <w:rsid w:val="002D299B"/>
    <w:rsid w:val="002E4F68"/>
    <w:rsid w:val="002E6647"/>
    <w:rsid w:val="002E7319"/>
    <w:rsid w:val="002E74A7"/>
    <w:rsid w:val="002F1FD1"/>
    <w:rsid w:val="002F42A8"/>
    <w:rsid w:val="002F4891"/>
    <w:rsid w:val="002F600A"/>
    <w:rsid w:val="002F797F"/>
    <w:rsid w:val="003127E8"/>
    <w:rsid w:val="00313B3B"/>
    <w:rsid w:val="00320940"/>
    <w:rsid w:val="00320A84"/>
    <w:rsid w:val="003219DE"/>
    <w:rsid w:val="00321B9B"/>
    <w:rsid w:val="00326F16"/>
    <w:rsid w:val="00331763"/>
    <w:rsid w:val="00333C47"/>
    <w:rsid w:val="00337B84"/>
    <w:rsid w:val="003435AD"/>
    <w:rsid w:val="00350730"/>
    <w:rsid w:val="00354E17"/>
    <w:rsid w:val="00360B63"/>
    <w:rsid w:val="00361DFE"/>
    <w:rsid w:val="00363CC4"/>
    <w:rsid w:val="00363DA9"/>
    <w:rsid w:val="0037158A"/>
    <w:rsid w:val="003723E1"/>
    <w:rsid w:val="00373DE8"/>
    <w:rsid w:val="003806B3"/>
    <w:rsid w:val="003828F1"/>
    <w:rsid w:val="00382B34"/>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2B63"/>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4D33"/>
    <w:rsid w:val="00445A1A"/>
    <w:rsid w:val="00450B69"/>
    <w:rsid w:val="00466C6B"/>
    <w:rsid w:val="00472FC6"/>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0D2C"/>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5861"/>
    <w:rsid w:val="005169C7"/>
    <w:rsid w:val="0052064A"/>
    <w:rsid w:val="00522051"/>
    <w:rsid w:val="005226C2"/>
    <w:rsid w:val="00526901"/>
    <w:rsid w:val="00531E9F"/>
    <w:rsid w:val="005449CA"/>
    <w:rsid w:val="005478D1"/>
    <w:rsid w:val="00550C85"/>
    <w:rsid w:val="005519D6"/>
    <w:rsid w:val="00552D7C"/>
    <w:rsid w:val="0055402F"/>
    <w:rsid w:val="005573A4"/>
    <w:rsid w:val="00562830"/>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13CD"/>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21DF"/>
    <w:rsid w:val="006B4756"/>
    <w:rsid w:val="006B5BF8"/>
    <w:rsid w:val="006B6715"/>
    <w:rsid w:val="006C6414"/>
    <w:rsid w:val="006D6B57"/>
    <w:rsid w:val="006D7451"/>
    <w:rsid w:val="006E1284"/>
    <w:rsid w:val="006E1EED"/>
    <w:rsid w:val="006E2BD1"/>
    <w:rsid w:val="006E2C24"/>
    <w:rsid w:val="006E3CA1"/>
    <w:rsid w:val="006F2AAC"/>
    <w:rsid w:val="006F3D91"/>
    <w:rsid w:val="006F41DC"/>
    <w:rsid w:val="006F5FC3"/>
    <w:rsid w:val="006F7418"/>
    <w:rsid w:val="00706B3F"/>
    <w:rsid w:val="0071542A"/>
    <w:rsid w:val="00716500"/>
    <w:rsid w:val="00716787"/>
    <w:rsid w:val="00716850"/>
    <w:rsid w:val="00717370"/>
    <w:rsid w:val="00720732"/>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5E56"/>
    <w:rsid w:val="008F6BC8"/>
    <w:rsid w:val="008F6E9C"/>
    <w:rsid w:val="00900C49"/>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E5D"/>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6C50"/>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CAF"/>
    <w:rsid w:val="00A15D7A"/>
    <w:rsid w:val="00A178E3"/>
    <w:rsid w:val="00A20D36"/>
    <w:rsid w:val="00A2470C"/>
    <w:rsid w:val="00A259CA"/>
    <w:rsid w:val="00A323F8"/>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84"/>
    <w:rsid w:val="00B47BD2"/>
    <w:rsid w:val="00B60556"/>
    <w:rsid w:val="00B66D1E"/>
    <w:rsid w:val="00B6741A"/>
    <w:rsid w:val="00B674E6"/>
    <w:rsid w:val="00B67E29"/>
    <w:rsid w:val="00B73EA6"/>
    <w:rsid w:val="00B73F60"/>
    <w:rsid w:val="00B76CB6"/>
    <w:rsid w:val="00B77A26"/>
    <w:rsid w:val="00B81403"/>
    <w:rsid w:val="00B823C7"/>
    <w:rsid w:val="00B83755"/>
    <w:rsid w:val="00B86A8E"/>
    <w:rsid w:val="00B97326"/>
    <w:rsid w:val="00BA38CA"/>
    <w:rsid w:val="00BA5C96"/>
    <w:rsid w:val="00BA6247"/>
    <w:rsid w:val="00BA680F"/>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1609"/>
    <w:rsid w:val="00C333C6"/>
    <w:rsid w:val="00C35AA7"/>
    <w:rsid w:val="00C35D02"/>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5FC3"/>
    <w:rsid w:val="00CA618F"/>
    <w:rsid w:val="00CA79A4"/>
    <w:rsid w:val="00CB4A24"/>
    <w:rsid w:val="00CB7C8F"/>
    <w:rsid w:val="00CC1573"/>
    <w:rsid w:val="00CC192B"/>
    <w:rsid w:val="00CC5FC7"/>
    <w:rsid w:val="00CC7947"/>
    <w:rsid w:val="00CD0506"/>
    <w:rsid w:val="00CD1BE4"/>
    <w:rsid w:val="00CD6A46"/>
    <w:rsid w:val="00CE0759"/>
    <w:rsid w:val="00CE0883"/>
    <w:rsid w:val="00CE4A7D"/>
    <w:rsid w:val="00CE6B40"/>
    <w:rsid w:val="00CF2A59"/>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DF7BDA"/>
    <w:rsid w:val="00E03766"/>
    <w:rsid w:val="00E057D8"/>
    <w:rsid w:val="00E1001A"/>
    <w:rsid w:val="00E13CE1"/>
    <w:rsid w:val="00E21016"/>
    <w:rsid w:val="00E31CBA"/>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1842"/>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customStyle="1" w:styleId="Default">
    <w:name w:val="Default"/>
    <w:rsid w:val="00BA680F"/>
    <w:pPr>
      <w:autoSpaceDE w:val="0"/>
      <w:autoSpaceDN w:val="0"/>
      <w:adjustRightInd w:val="0"/>
    </w:pPr>
    <w:rPr>
      <w:rFonts w:eastAsia="Calibri" w:cs="Times New Roman"/>
      <w:color w:val="000000"/>
      <w:szCs w:val="24"/>
    </w:rPr>
  </w:style>
  <w:style w:type="character" w:styleId="FollowedHyperlink">
    <w:name w:val="FollowedHyperlink"/>
    <w:basedOn w:val="DefaultParagraphFont"/>
    <w:uiPriority w:val="99"/>
    <w:semiHidden/>
    <w:unhideWhenUsed/>
    <w:rsid w:val="000017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k.gov.lv/lv/content/grafiskais-standar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k.gov.lv/lv/content/grafiskais-standar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CE3C2FAC-4904-4B1A-AF69-F7097BFD1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17412</Words>
  <Characters>9925</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7</cp:revision>
  <dcterms:created xsi:type="dcterms:W3CDTF">2023-11-13T05:35:00Z</dcterms:created>
  <dcterms:modified xsi:type="dcterms:W3CDTF">2023-11-13T06:43:00Z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