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44B83C4E"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8BB72C3"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bookmarkStart w:id="0" w:name="_Hlk100056587"/>
            <w:r w:rsidR="0028378D">
              <w:rPr>
                <w:rFonts w:ascii="Times New Roman" w:eastAsia="Times New Roman" w:hAnsi="Times New Roman" w:cs="Times New Roman"/>
                <w:bCs/>
                <w:sz w:val="24"/>
                <w:szCs w:val="24"/>
                <w:lang w:eastAsia="lv-LV"/>
              </w:rPr>
              <w:t xml:space="preserve"> </w:t>
            </w:r>
            <w:r w:rsidR="00FE7120" w:rsidRPr="00845B2C">
              <w:rPr>
                <w:rFonts w:ascii="Times New Roman" w:eastAsia="Times New Roman" w:hAnsi="Times New Roman" w:cs="Times New Roman"/>
                <w:bCs/>
                <w:sz w:val="24"/>
                <w:szCs w:val="24"/>
                <w:lang w:eastAsia="lv-LV"/>
              </w:rPr>
              <w:t>lietotu vieglo automašīnu, kuras atrodas Rīgā un Liepājā</w:t>
            </w:r>
            <w:r w:rsidR="00C2408D"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w:t>
            </w:r>
            <w:r w:rsidR="007F5587">
              <w:rPr>
                <w:rFonts w:ascii="Times New Roman" w:eastAsia="Times New Roman" w:hAnsi="Times New Roman" w:cs="Times New Roman"/>
                <w:color w:val="000000"/>
                <w:sz w:val="24"/>
                <w:szCs w:val="24"/>
                <w:lang w:eastAsia="lv-LV" w:bidi="lv-LV"/>
              </w:rPr>
              <w:t>u</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 xml:space="preserve">metāllūžņos </w:t>
            </w:r>
            <w:bookmarkEnd w:id="0"/>
            <w:r w:rsidRPr="00D75926">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70124C" w:rsidRPr="00326F16" w14:paraId="554AE8D3" w14:textId="77777777" w:rsidTr="00DC02A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70124C" w:rsidRPr="00326F16" w:rsidRDefault="0070124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482DFE03"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Mercedes</w:t>
            </w:r>
            <w:proofErr w:type="spellEnd"/>
            <w:r>
              <w:rPr>
                <w:rFonts w:ascii="Times New Roman" w:eastAsia="Times New Roman" w:hAnsi="Times New Roman" w:cs="Times New Roman"/>
                <w:bCs/>
                <w:iCs/>
                <w:sz w:val="24"/>
                <w:szCs w:val="24"/>
                <w:lang w:eastAsia="lv-LV"/>
              </w:rPr>
              <w:t xml:space="preserve"> Benz C320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MK4813</w:t>
            </w:r>
            <w:r w:rsidRPr="009E72EE">
              <w:rPr>
                <w:rFonts w:ascii="Times New Roman" w:eastAsia="Times New Roman" w:hAnsi="Times New Roman" w:cs="Times New Roman"/>
                <w:bCs/>
                <w:sz w:val="24"/>
                <w:szCs w:val="24"/>
                <w:lang w:eastAsia="lv-LV"/>
              </w:rPr>
              <w:t xml:space="preserve">, VIN </w:t>
            </w:r>
            <w:r>
              <w:rPr>
                <w:rFonts w:ascii="Times New Roman" w:eastAsia="Times New Roman" w:hAnsi="Times New Roman" w:cs="Times New Roman"/>
                <w:bCs/>
                <w:sz w:val="24"/>
                <w:szCs w:val="24"/>
                <w:lang w:eastAsia="lv-LV"/>
              </w:rPr>
              <w:t>W</w:t>
            </w:r>
            <w:r w:rsidRPr="00FE7120">
              <w:rPr>
                <w:rFonts w:ascii="Times New Roman" w:eastAsia="Times New Roman" w:hAnsi="Times New Roman" w:cs="Times New Roman"/>
                <w:bCs/>
                <w:sz w:val="24"/>
                <w:szCs w:val="24"/>
                <w:lang w:eastAsia="lv-LV"/>
              </w:rPr>
              <w:t>DB2030641A040680</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 xml:space="preserve">bez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565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0D3B719" w14:textId="7A91EF0F"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70124C"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70124C" w:rsidRPr="008E65E7"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0124C" w:rsidRPr="00326F16" w14:paraId="737990B0" w14:textId="77777777" w:rsidTr="00DC02A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70124C" w:rsidRPr="00876AA9" w:rsidRDefault="0070124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46E2C32A"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Volkswagen</w:t>
            </w:r>
            <w:proofErr w:type="spellEnd"/>
            <w:r>
              <w:rPr>
                <w:rFonts w:ascii="Times New Roman" w:eastAsia="Times New Roman" w:hAnsi="Times New Roman" w:cs="Times New Roman"/>
                <w:bCs/>
                <w:iCs/>
                <w:sz w:val="24"/>
                <w:szCs w:val="24"/>
                <w:lang w:eastAsia="lv-LV"/>
              </w:rPr>
              <w:t xml:space="preserve">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VR7230</w:t>
            </w:r>
            <w:r w:rsidRPr="009E72EE">
              <w:rPr>
                <w:rFonts w:ascii="Times New Roman" w:eastAsia="Times New Roman" w:hAnsi="Times New Roman" w:cs="Times New Roman"/>
                <w:bCs/>
                <w:sz w:val="24"/>
                <w:szCs w:val="24"/>
                <w:lang w:eastAsia="lv-LV"/>
              </w:rPr>
              <w:t xml:space="preserve">, VIN </w:t>
            </w:r>
            <w:r w:rsidRPr="00FE7120">
              <w:rPr>
                <w:rFonts w:ascii="Times New Roman" w:eastAsia="Times New Roman" w:hAnsi="Times New Roman" w:cs="Times New Roman"/>
                <w:bCs/>
                <w:sz w:val="24"/>
                <w:szCs w:val="24"/>
                <w:lang w:eastAsia="lv-LV"/>
              </w:rPr>
              <w:t>WVWZZZ1JZXW618925</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reģistrācijas apliecības, izlaiduma gads 199</w:t>
            </w:r>
            <w:r>
              <w:rPr>
                <w:rFonts w:ascii="Times New Roman" w:eastAsia="Times New Roman" w:hAnsi="Times New Roman" w:cs="Times New Roman"/>
                <w:bCs/>
                <w:sz w:val="24"/>
                <w:szCs w:val="24"/>
                <w:lang w:eastAsia="lv-LV"/>
              </w:rPr>
              <w:t>9</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137</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0A73D262"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70124C" w:rsidRPr="008E65E7"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0124C" w:rsidRPr="00326F16" w14:paraId="28932733" w14:textId="77777777" w:rsidTr="00DC02A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70124C" w:rsidRPr="00876AA9" w:rsidRDefault="0070124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25404088"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Mikroautobuss</w:t>
            </w:r>
            <w:r w:rsidRPr="009E72EE">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iCs/>
                <w:sz w:val="24"/>
                <w:szCs w:val="24"/>
                <w:lang w:eastAsia="lv-LV"/>
              </w:rPr>
              <w:t>Volkswagen</w:t>
            </w:r>
            <w:proofErr w:type="spellEnd"/>
            <w:r>
              <w:rPr>
                <w:rFonts w:ascii="Times New Roman" w:eastAsia="Times New Roman" w:hAnsi="Times New Roman" w:cs="Times New Roman"/>
                <w:bCs/>
                <w:iCs/>
                <w:sz w:val="24"/>
                <w:szCs w:val="24"/>
                <w:lang w:eastAsia="lv-LV"/>
              </w:rPr>
              <w:t xml:space="preserve"> </w:t>
            </w:r>
            <w:proofErr w:type="spellStart"/>
            <w:r>
              <w:rPr>
                <w:rFonts w:ascii="Times New Roman" w:eastAsia="Times New Roman" w:hAnsi="Times New Roman" w:cs="Times New Roman"/>
                <w:bCs/>
                <w:iCs/>
                <w:sz w:val="24"/>
                <w:szCs w:val="24"/>
                <w:lang w:eastAsia="lv-LV"/>
              </w:rPr>
              <w:t>Caravelle</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KA6670</w:t>
            </w:r>
            <w:r w:rsidRPr="009E72EE">
              <w:rPr>
                <w:rFonts w:ascii="Times New Roman" w:eastAsia="Times New Roman" w:hAnsi="Times New Roman" w:cs="Times New Roman"/>
                <w:bCs/>
                <w:sz w:val="24"/>
                <w:szCs w:val="24"/>
                <w:lang w:eastAsia="lv-LV"/>
              </w:rPr>
              <w:t xml:space="preserve">, VIN </w:t>
            </w:r>
            <w:r w:rsidRPr="0054383B">
              <w:rPr>
                <w:rFonts w:ascii="Times New Roman" w:eastAsia="Times New Roman" w:hAnsi="Times New Roman" w:cs="Times New Roman"/>
                <w:bCs/>
                <w:sz w:val="24"/>
                <w:szCs w:val="24"/>
                <w:lang w:eastAsia="lv-LV"/>
              </w:rPr>
              <w:t>WV2ZZZ70ZXH000284</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950</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3390EFF6" w14:textId="2464FBA2"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A527659" w14:textId="77777777" w:rsidR="0070124C" w:rsidRPr="008E65E7"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0124C" w:rsidRPr="00326F16" w14:paraId="399CBA46" w14:textId="77777777" w:rsidTr="00DC02A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F6F7E3B" w14:textId="77777777" w:rsidR="0070124C" w:rsidRPr="00876AA9" w:rsidRDefault="0070124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34A6F42" w14:textId="2B3EA8E9"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Peugeot 607</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HV4214</w:t>
            </w:r>
            <w:r w:rsidRPr="009E72EE">
              <w:rPr>
                <w:rFonts w:ascii="Times New Roman" w:eastAsia="Times New Roman" w:hAnsi="Times New Roman" w:cs="Times New Roman"/>
                <w:bCs/>
                <w:sz w:val="24"/>
                <w:szCs w:val="24"/>
                <w:lang w:eastAsia="lv-LV"/>
              </w:rPr>
              <w:t xml:space="preserve">, VIN </w:t>
            </w:r>
            <w:r w:rsidRPr="0054383B">
              <w:rPr>
                <w:rFonts w:ascii="Times New Roman" w:eastAsia="Times New Roman" w:hAnsi="Times New Roman" w:cs="Times New Roman"/>
                <w:bCs/>
                <w:sz w:val="24"/>
                <w:szCs w:val="24"/>
                <w:lang w:eastAsia="lv-LV"/>
              </w:rPr>
              <w:t>VF39D4HXE92036907</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625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99AF7F0" w14:textId="7D122853"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9269E88" w14:textId="77777777" w:rsidR="0070124C" w:rsidRPr="008E65E7"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0124C" w:rsidRPr="00326F16" w14:paraId="5E79471B" w14:textId="77777777" w:rsidTr="00DC02A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C2D865D" w14:textId="77777777" w:rsidR="0070124C" w:rsidRPr="00876AA9" w:rsidRDefault="0070124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9885C0C" w14:textId="6414333D"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Volkswagen</w:t>
            </w:r>
            <w:proofErr w:type="spellEnd"/>
            <w:r>
              <w:rPr>
                <w:rFonts w:ascii="Times New Roman" w:eastAsia="Times New Roman" w:hAnsi="Times New Roman" w:cs="Times New Roman"/>
                <w:bCs/>
                <w:iCs/>
                <w:sz w:val="24"/>
                <w:szCs w:val="24"/>
                <w:lang w:eastAsia="lv-LV"/>
              </w:rPr>
              <w:t xml:space="preserve"> Golf Variant</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KF3403</w:t>
            </w:r>
            <w:r w:rsidRPr="009E72EE">
              <w:rPr>
                <w:rFonts w:ascii="Times New Roman" w:eastAsia="Times New Roman" w:hAnsi="Times New Roman" w:cs="Times New Roman"/>
                <w:bCs/>
                <w:sz w:val="24"/>
                <w:szCs w:val="24"/>
                <w:lang w:eastAsia="lv-LV"/>
              </w:rPr>
              <w:t xml:space="preserve">, VIN </w:t>
            </w:r>
            <w:r w:rsidRPr="0054383B">
              <w:rPr>
                <w:rFonts w:ascii="Times New Roman" w:eastAsia="Times New Roman" w:hAnsi="Times New Roman" w:cs="Times New Roman"/>
                <w:bCs/>
                <w:sz w:val="24"/>
                <w:szCs w:val="24"/>
                <w:lang w:eastAsia="lv-LV"/>
              </w:rPr>
              <w:t>WVWZZZ1JZ3W132177</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 13</w:t>
            </w:r>
            <w:r>
              <w:rPr>
                <w:rFonts w:ascii="Times New Roman" w:eastAsia="Times New Roman" w:hAnsi="Times New Roman" w:cs="Times New Roman"/>
                <w:bCs/>
                <w:sz w:val="24"/>
                <w:szCs w:val="24"/>
                <w:lang w:eastAsia="lv-LV"/>
              </w:rPr>
              <w:t>95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2F403664" w14:textId="467CF676"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4D7361BC" w14:textId="77777777" w:rsidR="0070124C" w:rsidRPr="008E65E7"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0124C" w:rsidRPr="00326F16" w14:paraId="2DBC329B"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352E2A0" w14:textId="77777777" w:rsidR="0070124C" w:rsidRPr="00876AA9" w:rsidRDefault="0070124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DCD0318" w14:textId="2C860707"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 xml:space="preserve">Ford </w:t>
            </w:r>
            <w:proofErr w:type="spellStart"/>
            <w:r>
              <w:rPr>
                <w:rFonts w:ascii="Times New Roman" w:eastAsia="Times New Roman" w:hAnsi="Times New Roman" w:cs="Times New Roman"/>
                <w:bCs/>
                <w:iCs/>
                <w:sz w:val="24"/>
                <w:szCs w:val="24"/>
                <w:lang w:eastAsia="lv-LV"/>
              </w:rPr>
              <w:t>Galaxy</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HF7834</w:t>
            </w:r>
            <w:r w:rsidRPr="009E72EE">
              <w:rPr>
                <w:rFonts w:ascii="Times New Roman" w:eastAsia="Times New Roman" w:hAnsi="Times New Roman" w:cs="Times New Roman"/>
                <w:bCs/>
                <w:sz w:val="24"/>
                <w:szCs w:val="24"/>
                <w:lang w:eastAsia="lv-LV"/>
              </w:rPr>
              <w:t xml:space="preserve">, VIN </w:t>
            </w:r>
            <w:r w:rsidRPr="0054383B">
              <w:rPr>
                <w:rFonts w:ascii="Times New Roman" w:eastAsia="Times New Roman" w:hAnsi="Times New Roman" w:cs="Times New Roman"/>
                <w:bCs/>
                <w:sz w:val="24"/>
                <w:szCs w:val="24"/>
                <w:lang w:eastAsia="lv-LV"/>
              </w:rPr>
              <w:t>WF0GXXPSWGWB75403</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199</w:t>
            </w:r>
            <w:r>
              <w:rPr>
                <w:rFonts w:ascii="Times New Roman" w:eastAsia="Times New Roman" w:hAnsi="Times New Roman" w:cs="Times New Roman"/>
                <w:bCs/>
                <w:sz w:val="24"/>
                <w:szCs w:val="24"/>
                <w:lang w:eastAsia="lv-LV"/>
              </w:rPr>
              <w:t>8</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750</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2CFC89EF" w14:textId="7A458189" w:rsidR="0070124C"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6F4463F9" w14:textId="77777777" w:rsidR="0070124C" w:rsidRPr="008E65E7" w:rsidRDefault="0070124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7120" w:rsidRPr="00326F16" w14:paraId="5D24C58F"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6532324" w14:textId="77777777" w:rsidR="00FE7120" w:rsidRPr="00876AA9" w:rsidRDefault="00FE7120"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E77D9F8" w14:textId="0404C2C8" w:rsidR="00FE7120" w:rsidRPr="00D75926" w:rsidRDefault="00FE712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Pr="00845B2C">
              <w:rPr>
                <w:rFonts w:ascii="Times New Roman" w:eastAsia="Times New Roman" w:hAnsi="Times New Roman" w:cs="Times New Roman"/>
                <w:bCs/>
                <w:iCs/>
                <w:sz w:val="24"/>
                <w:szCs w:val="24"/>
                <w:lang w:eastAsia="lv-LV"/>
              </w:rPr>
              <w:t xml:space="preserve">Audi </w:t>
            </w:r>
            <w:r w:rsidR="0054383B">
              <w:rPr>
                <w:rFonts w:ascii="Times New Roman" w:eastAsia="Times New Roman" w:hAnsi="Times New Roman" w:cs="Times New Roman"/>
                <w:bCs/>
                <w:iCs/>
                <w:sz w:val="24"/>
                <w:szCs w:val="24"/>
                <w:lang w:eastAsia="lv-LV"/>
              </w:rPr>
              <w:t>80</w:t>
            </w:r>
            <w:r w:rsidRPr="009E72EE">
              <w:rPr>
                <w:rFonts w:ascii="Times New Roman" w:eastAsia="Times New Roman" w:hAnsi="Times New Roman" w:cs="Times New Roman"/>
                <w:bCs/>
                <w:sz w:val="24"/>
                <w:szCs w:val="24"/>
                <w:lang w:eastAsia="lv-LV"/>
              </w:rPr>
              <w:t xml:space="preserve">, reģistrācijas numurs </w:t>
            </w:r>
            <w:r w:rsidR="0054383B">
              <w:rPr>
                <w:rFonts w:ascii="Times New Roman" w:eastAsia="Times New Roman" w:hAnsi="Times New Roman" w:cs="Times New Roman"/>
                <w:bCs/>
                <w:sz w:val="24"/>
                <w:szCs w:val="24"/>
                <w:lang w:eastAsia="lv-LV"/>
              </w:rPr>
              <w:t>GH6348</w:t>
            </w:r>
            <w:r w:rsidRPr="009E72EE">
              <w:rPr>
                <w:rFonts w:ascii="Times New Roman" w:eastAsia="Times New Roman" w:hAnsi="Times New Roman" w:cs="Times New Roman"/>
                <w:bCs/>
                <w:sz w:val="24"/>
                <w:szCs w:val="24"/>
                <w:lang w:eastAsia="lv-LV"/>
              </w:rPr>
              <w:t xml:space="preserve">, VIN </w:t>
            </w:r>
            <w:r w:rsidR="0054383B" w:rsidRPr="0054383B">
              <w:rPr>
                <w:rFonts w:ascii="Times New Roman" w:eastAsia="Times New Roman" w:hAnsi="Times New Roman" w:cs="Times New Roman"/>
                <w:bCs/>
                <w:sz w:val="24"/>
                <w:szCs w:val="24"/>
                <w:lang w:eastAsia="lv-LV"/>
              </w:rPr>
              <w:t>WAUZZZ8CZSA010544</w:t>
            </w:r>
            <w:r>
              <w:rPr>
                <w:rFonts w:ascii="Times New Roman" w:eastAsia="Times New Roman" w:hAnsi="Times New Roman" w:cs="Times New Roman"/>
                <w:bCs/>
                <w:sz w:val="24"/>
                <w:szCs w:val="24"/>
                <w:lang w:eastAsia="lv-LV"/>
              </w:rPr>
              <w:t xml:space="preserve">, </w:t>
            </w:r>
            <w:r w:rsidR="0054383B">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 un reģistrācijas apliecīb</w:t>
            </w:r>
            <w:r w:rsidR="0054383B">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izlaiduma gads 199</w:t>
            </w:r>
            <w:r w:rsidR="0054383B">
              <w:rPr>
                <w:rFonts w:ascii="Times New Roman" w:eastAsia="Times New Roman" w:hAnsi="Times New Roman" w:cs="Times New Roman"/>
                <w:bCs/>
                <w:sz w:val="24"/>
                <w:szCs w:val="24"/>
                <w:lang w:eastAsia="lv-LV"/>
              </w:rPr>
              <w:t>4</w:t>
            </w:r>
            <w:r w:rsidRPr="009E72EE">
              <w:rPr>
                <w:rFonts w:ascii="Times New Roman" w:eastAsia="Times New Roman" w:hAnsi="Times New Roman" w:cs="Times New Roman"/>
                <w:bCs/>
                <w:sz w:val="24"/>
                <w:szCs w:val="24"/>
                <w:lang w:eastAsia="lv-LV"/>
              </w:rPr>
              <w:t>., pašmasa 1</w:t>
            </w:r>
            <w:r w:rsidR="0054383B">
              <w:rPr>
                <w:rFonts w:ascii="Times New Roman" w:eastAsia="Times New Roman" w:hAnsi="Times New Roman" w:cs="Times New Roman"/>
                <w:bCs/>
                <w:sz w:val="24"/>
                <w:szCs w:val="24"/>
                <w:lang w:eastAsia="lv-LV"/>
              </w:rPr>
              <w:t>2</w:t>
            </w:r>
            <w:r w:rsidRPr="009E72EE">
              <w:rPr>
                <w:rFonts w:ascii="Times New Roman" w:eastAsia="Times New Roman" w:hAnsi="Times New Roman" w:cs="Times New Roman"/>
                <w:bCs/>
                <w:sz w:val="24"/>
                <w:szCs w:val="24"/>
                <w:lang w:eastAsia="lv-LV"/>
              </w:rPr>
              <w:t>30 kg.</w:t>
            </w:r>
          </w:p>
        </w:tc>
        <w:tc>
          <w:tcPr>
            <w:tcW w:w="546" w:type="pct"/>
            <w:tcBorders>
              <w:top w:val="single" w:sz="4" w:space="0" w:color="auto"/>
              <w:left w:val="single" w:sz="4" w:space="0" w:color="auto"/>
              <w:bottom w:val="single" w:sz="4" w:space="0" w:color="auto"/>
            </w:tcBorders>
          </w:tcPr>
          <w:p w14:paraId="46F1DA48" w14:textId="2D932891" w:rsidR="00FE7120" w:rsidRPr="00D75926" w:rsidRDefault="0070124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45B2C">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474FD82B" w14:textId="77777777" w:rsidR="00FE7120" w:rsidRPr="008E65E7" w:rsidRDefault="00FE712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326F16" w14:paraId="22E612C6" w14:textId="77777777" w:rsidTr="00B6137D">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876AA9" w:rsidRDefault="00434663" w:rsidP="00D75926">
            <w:pPr>
              <w:pStyle w:val="ListParagraph"/>
              <w:numPr>
                <w:ilvl w:val="1"/>
                <w:numId w:val="4"/>
              </w:numPr>
              <w:ind w:hanging="645"/>
              <w:rPr>
                <w:rFonts w:eastAsia="Times New Roman" w:cs="Times New Roman"/>
                <w:b/>
                <w:szCs w:val="24"/>
                <w:lang w:eastAsia="lv-LV"/>
              </w:rPr>
            </w:pPr>
          </w:p>
        </w:tc>
        <w:tc>
          <w:tcPr>
            <w:tcW w:w="3224" w:type="pct"/>
            <w:gridSpan w:val="2"/>
            <w:tcBorders>
              <w:top w:val="single" w:sz="4" w:space="0" w:color="auto"/>
              <w:left w:val="single" w:sz="4" w:space="0" w:color="auto"/>
              <w:bottom w:val="single" w:sz="4" w:space="0" w:color="auto"/>
            </w:tcBorders>
          </w:tcPr>
          <w:p w14:paraId="08CBDDBF" w14:textId="77777777" w:rsidR="00EE7B5C" w:rsidRDefault="00EE7B5C" w:rsidP="00EE7B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10069C9D" w14:textId="6ACB0FCC" w:rsidR="00EE7B5C" w:rsidRDefault="00EE7B5C" w:rsidP="00EE7B5C">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 xml:space="preserve">-2.6.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r>
              <w:rPr>
                <w:rFonts w:ascii="Times New Roman" w:hAnsi="Times New Roman" w:cs="Times New Roman"/>
                <w:color w:val="000000"/>
                <w:sz w:val="24"/>
                <w:szCs w:val="24"/>
              </w:rPr>
              <w:t>;</w:t>
            </w:r>
          </w:p>
          <w:p w14:paraId="68B2FDA9" w14:textId="2DB70480" w:rsidR="00EE7B5C" w:rsidRDefault="00EE7B5C" w:rsidP="00EE7B5C">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 xml:space="preserve">7.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norādīto valstij piekritīgo mantu;</w:t>
            </w:r>
          </w:p>
          <w:p w14:paraId="29DB0CD4" w14:textId="5EE82A42" w:rsidR="00434663" w:rsidRPr="00D75926" w:rsidRDefault="00EE7B5C" w:rsidP="00B6137D">
            <w:pPr>
              <w:pStyle w:val="Style9"/>
              <w:numPr>
                <w:ilvl w:val="0"/>
                <w:numId w:val="15"/>
              </w:numPr>
              <w:tabs>
                <w:tab w:val="left" w:pos="708"/>
              </w:tabs>
              <w:spacing w:before="0" w:after="0"/>
              <w:ind w:left="141" w:right="130" w:firstLine="283"/>
              <w:jc w:val="both"/>
              <w:rPr>
                <w:rFonts w:ascii="Times New Roman" w:eastAsia="Times New Roman" w:hAnsi="Times New Roman" w:cs="Times New Roman"/>
                <w:bCs/>
                <w:sz w:val="24"/>
                <w:szCs w:val="24"/>
                <w:lang w:eastAsia="lv-LV"/>
              </w:rPr>
            </w:pPr>
            <w:r w:rsidRPr="00D74EE2">
              <w:rPr>
                <w:rFonts w:ascii="Times New Roman" w:hAnsi="Times New Roman" w:cs="Times New Roman"/>
                <w:color w:val="000000"/>
                <w:sz w:val="24"/>
                <w:szCs w:val="24"/>
              </w:rPr>
              <w:t>uz visu Tehniskā piedāvājuma 2.1.-2.</w:t>
            </w:r>
            <w:r>
              <w:rPr>
                <w:rFonts w:ascii="Times New Roman" w:hAnsi="Times New Roman" w:cs="Times New Roman"/>
                <w:color w:val="000000"/>
                <w:sz w:val="24"/>
                <w:szCs w:val="24"/>
              </w:rPr>
              <w:t>7</w:t>
            </w:r>
            <w:r w:rsidRPr="00D74EE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74EE2">
              <w:rPr>
                <w:rFonts w:ascii="Times New Roman" w:hAnsi="Times New Roman" w:cs="Times New Roman"/>
                <w:color w:val="000000"/>
                <w:sz w:val="24"/>
                <w:szCs w:val="24"/>
              </w:rPr>
              <w:t>apakšpunktos norādīto valstij piekritīgo mantu kopā.</w:t>
            </w:r>
          </w:p>
        </w:tc>
        <w:tc>
          <w:tcPr>
            <w:tcW w:w="1328" w:type="pct"/>
          </w:tcPr>
          <w:p w14:paraId="5387FC47" w14:textId="77777777" w:rsidR="00434663" w:rsidRPr="008E65E7" w:rsidRDefault="0043466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B6137D">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B6137D">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5C7439A0"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F372DF">
              <w:rPr>
                <w:rFonts w:ascii="Times New Roman" w:eastAsia="Calibri" w:hAnsi="Times New Roman" w:cs="Times New Roman"/>
                <w:sz w:val="24"/>
                <w:szCs w:val="24"/>
              </w:rPr>
              <w:t>pārstrādei</w:t>
            </w:r>
            <w:r w:rsidR="00F372DF"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4043B421"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w:t>
            </w:r>
            <w:r w:rsidR="00D30F57">
              <w:rPr>
                <w:rFonts w:ascii="Times New Roman" w:hAnsi="Times New Roman" w:cs="Times New Roman"/>
                <w:bCs/>
                <w:sz w:val="24"/>
                <w:szCs w:val="24"/>
              </w:rPr>
              <w:t xml:space="preserve">pārstrādi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6CA0D43" w14:textId="77777777" w:rsidR="00EE7B5C" w:rsidRDefault="00EE7B5C" w:rsidP="00EE7B5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306B9BC2" w14:textId="5C92FC24" w:rsidR="00EE7B5C" w:rsidRDefault="00EE7B5C" w:rsidP="00EE7B5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1.-2.6.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automašīnas atrodas </w:t>
            </w:r>
            <w:proofErr w:type="spellStart"/>
            <w:r>
              <w:rPr>
                <w:rFonts w:ascii="Times New Roman" w:hAnsi="Times New Roman" w:cs="Times New Roman"/>
                <w:color w:val="000000"/>
                <w:sz w:val="24"/>
                <w:szCs w:val="24"/>
              </w:rPr>
              <w:t>Rājumsila</w:t>
            </w:r>
            <w:proofErr w:type="spellEnd"/>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2CA39FF2" w14:textId="19219329" w:rsidR="00225E1C" w:rsidRPr="005969AD" w:rsidRDefault="00EE7B5C" w:rsidP="00EE7B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7.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w:t>
            </w:r>
            <w:r>
              <w:rPr>
                <w:rFonts w:eastAsia="Times New Roman" w:cs="Times New Roman"/>
                <w:szCs w:val="24"/>
                <w:lang w:eastAsia="lv-LV"/>
              </w:rPr>
              <w:t xml:space="preserve"> </w:t>
            </w:r>
            <w:r>
              <w:rPr>
                <w:rFonts w:ascii="Times New Roman" w:hAnsi="Times New Roman" w:cs="Times New Roman"/>
                <w:color w:val="000000"/>
                <w:sz w:val="24"/>
                <w:szCs w:val="24"/>
              </w:rPr>
              <w:t>Bāriņu</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Liepājā.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9F090CE"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EE7B5C">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sidR="00EE7B5C">
              <w:rPr>
                <w:rFonts w:eastAsia="Times New Roman" w:cs="Times New Roman"/>
                <w:szCs w:val="24"/>
                <w:lang w:eastAsia="lv-LV"/>
              </w:rPr>
              <w:t>Oskaru Rostoku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EE7B5C">
                <w:rPr>
                  <w:rStyle w:val="Hyperlink"/>
                  <w:rFonts w:eastAsia="Times New Roman" w:cs="Times New Roman"/>
                  <w:szCs w:val="24"/>
                  <w:lang w:eastAsia="lv-LV"/>
                </w:rPr>
                <w:t>o</w:t>
              </w:r>
              <w:r w:rsidR="00EE7B5C">
                <w:rPr>
                  <w:rStyle w:val="Hyperlink"/>
                </w:rPr>
                <w:t>skars.rostoks</w:t>
              </w:r>
              <w:r w:rsidR="00EE7B5C"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0DD7E779" w14:textId="77777777" w:rsidR="00EE7B5C" w:rsidRDefault="00EE7B5C" w:rsidP="00EE7B5C">
      <w:pPr>
        <w:rPr>
          <w:rFonts w:eastAsia="Times New Roman" w:cs="Times New Roman"/>
          <w:i/>
          <w:szCs w:val="24"/>
          <w:lang w:eastAsia="lv-LV"/>
        </w:rPr>
      </w:pPr>
    </w:p>
    <w:p w14:paraId="2ED7BC3D" w14:textId="3A109A34" w:rsidR="00EE7B5C" w:rsidRDefault="00EE7B5C" w:rsidP="00EE7B5C">
      <w:pPr>
        <w:pStyle w:val="ListParagraph"/>
        <w:numPr>
          <w:ilvl w:val="1"/>
          <w:numId w:val="1"/>
        </w:numPr>
        <w:rPr>
          <w:lang w:eastAsia="lv-LV"/>
        </w:rPr>
      </w:pPr>
      <w:r>
        <w:rPr>
          <w:lang w:eastAsia="lv-LV"/>
        </w:rPr>
        <w:t xml:space="preserve"> </w:t>
      </w:r>
      <w:r w:rsidRPr="00D44E8B">
        <w:rPr>
          <w:rFonts w:eastAsia="Times New Roman" w:cs="Times New Roman"/>
          <w:b/>
          <w:szCs w:val="24"/>
          <w:lang w:eastAsia="lv-LV"/>
        </w:rPr>
        <w:t>Par automašīn</w:t>
      </w:r>
      <w:r>
        <w:rPr>
          <w:rFonts w:eastAsia="Times New Roman" w:cs="Times New Roman"/>
          <w:b/>
          <w:szCs w:val="24"/>
          <w:lang w:eastAsia="lv-LV"/>
        </w:rPr>
        <w:t>ām</w:t>
      </w:r>
      <w:r w:rsidRPr="00D44E8B">
        <w:rPr>
          <w:rFonts w:eastAsia="Times New Roman" w:cs="Times New Roman"/>
          <w:b/>
          <w:szCs w:val="24"/>
          <w:lang w:eastAsia="lv-LV"/>
        </w:rPr>
        <w:t>, kur</w:t>
      </w:r>
      <w:r>
        <w:rPr>
          <w:rFonts w:eastAsia="Times New Roman" w:cs="Times New Roman"/>
          <w:b/>
          <w:szCs w:val="24"/>
          <w:lang w:eastAsia="lv-LV"/>
        </w:rPr>
        <w:t>u</w:t>
      </w:r>
      <w:r w:rsidRPr="00D44E8B">
        <w:rPr>
          <w:rFonts w:eastAsia="Times New Roman" w:cs="Times New Roman"/>
          <w:b/>
          <w:szCs w:val="24"/>
          <w:lang w:eastAsia="lv-LV"/>
        </w:rPr>
        <w:t xml:space="preserve"> atrašanās vieta ir </w:t>
      </w:r>
      <w:r>
        <w:rPr>
          <w:rFonts w:eastAsia="Times New Roman" w:cs="Times New Roman"/>
          <w:b/>
          <w:bCs/>
          <w:szCs w:val="24"/>
          <w:lang w:eastAsia="lv-LV"/>
        </w:rPr>
        <w:t xml:space="preserve">un </w:t>
      </w:r>
      <w:proofErr w:type="spellStart"/>
      <w:r>
        <w:rPr>
          <w:rFonts w:eastAsia="Times New Roman" w:cs="Times New Roman"/>
          <w:b/>
          <w:bCs/>
          <w:szCs w:val="24"/>
          <w:lang w:eastAsia="lv-LV"/>
        </w:rPr>
        <w:t>Rājumsila</w:t>
      </w:r>
      <w:proofErr w:type="spellEnd"/>
      <w:r>
        <w:rPr>
          <w:rFonts w:eastAsia="Times New Roman" w:cs="Times New Roman"/>
          <w:b/>
          <w:bCs/>
          <w:szCs w:val="24"/>
          <w:lang w:eastAsia="lv-LV"/>
        </w:rPr>
        <w:t xml:space="preserve"> ielā 3</w:t>
      </w:r>
      <w:r w:rsidRPr="00D44E8B">
        <w:rPr>
          <w:rFonts w:eastAsia="Times New Roman" w:cs="Times New Roman"/>
          <w:b/>
          <w:bCs/>
          <w:szCs w:val="24"/>
          <w:lang w:eastAsia="lv-LV"/>
        </w:rPr>
        <w:t>, Rīgā</w:t>
      </w:r>
    </w:p>
    <w:p w14:paraId="255D3B3E" w14:textId="77777777" w:rsidR="00EE7B5C" w:rsidRDefault="00EE7B5C" w:rsidP="00EE7B5C">
      <w:pPr>
        <w:rPr>
          <w:lang w:eastAsia="lv-LV"/>
        </w:rPr>
      </w:pPr>
    </w:p>
    <w:tbl>
      <w:tblPr>
        <w:tblStyle w:val="TableGrid11"/>
        <w:tblW w:w="9224" w:type="dxa"/>
        <w:jc w:val="center"/>
        <w:tblLayout w:type="fixed"/>
        <w:tblCellMar>
          <w:left w:w="0" w:type="dxa"/>
          <w:right w:w="0" w:type="dxa"/>
        </w:tblCellMar>
        <w:tblLook w:val="04A0" w:firstRow="1" w:lastRow="0" w:firstColumn="1" w:lastColumn="0" w:noHBand="0" w:noVBand="1"/>
      </w:tblPr>
      <w:tblGrid>
        <w:gridCol w:w="851"/>
        <w:gridCol w:w="5240"/>
        <w:gridCol w:w="1144"/>
        <w:gridCol w:w="1989"/>
      </w:tblGrid>
      <w:tr w:rsidR="00EE7B5C" w:rsidRPr="00664D8C" w14:paraId="591763D1" w14:textId="77777777" w:rsidTr="00EE7B5C">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66D27" w14:textId="77777777" w:rsidR="00EE7B5C" w:rsidRPr="00664D8C" w:rsidRDefault="00EE7B5C" w:rsidP="00EE7B5C">
            <w:pPr>
              <w:jc w:val="center"/>
              <w:rPr>
                <w:rFonts w:eastAsia="Times New Roman" w:cs="Times New Roman"/>
                <w:b/>
                <w:szCs w:val="24"/>
              </w:rPr>
            </w:pPr>
            <w:r w:rsidRPr="00664D8C">
              <w:rPr>
                <w:rFonts w:eastAsia="Times New Roman" w:cs="Times New Roman"/>
                <w:b/>
                <w:szCs w:val="24"/>
              </w:rPr>
              <w:t>Nr.</w:t>
            </w:r>
          </w:p>
          <w:p w14:paraId="65862A69" w14:textId="77777777" w:rsidR="00EE7B5C" w:rsidRPr="00664D8C" w:rsidRDefault="00EE7B5C" w:rsidP="00EE7B5C">
            <w:pPr>
              <w:jc w:val="center"/>
              <w:rPr>
                <w:rFonts w:eastAsia="Times New Roman" w:cs="Times New Roman"/>
                <w:b/>
                <w:szCs w:val="24"/>
              </w:rPr>
            </w:pPr>
            <w:r w:rsidRPr="00664D8C">
              <w:rPr>
                <w:rFonts w:eastAsia="Times New Roman" w:cs="Times New Roman"/>
                <w:b/>
                <w:szCs w:val="24"/>
              </w:rPr>
              <w:t xml:space="preserve"> p.k.</w:t>
            </w:r>
          </w:p>
        </w:tc>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5F5A7" w14:textId="77777777" w:rsidR="00EE7B5C" w:rsidRPr="00664D8C" w:rsidRDefault="00EE7B5C" w:rsidP="00EE7B5C">
            <w:pPr>
              <w:jc w:val="center"/>
              <w:rPr>
                <w:rFonts w:eastAsia="Times New Roman" w:cs="Times New Roman"/>
                <w:b/>
                <w:szCs w:val="24"/>
              </w:rPr>
            </w:pPr>
            <w:r w:rsidRPr="00664D8C">
              <w:rPr>
                <w:rFonts w:eastAsia="Times New Roman" w:cs="Times New Roman"/>
                <w:b/>
                <w:szCs w:val="24"/>
              </w:rPr>
              <w:t>Cenu aptaujas priekšmets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DFD01" w14:textId="77777777" w:rsidR="00EE7B5C" w:rsidRPr="00664D8C" w:rsidRDefault="00EE7B5C" w:rsidP="00EE7B5C">
            <w:pPr>
              <w:jc w:val="center"/>
              <w:rPr>
                <w:rFonts w:eastAsia="Times New Roman" w:cs="Times New Roman"/>
                <w:b/>
                <w:szCs w:val="24"/>
              </w:rPr>
            </w:pPr>
            <w:r w:rsidRPr="00664D8C">
              <w:rPr>
                <w:rFonts w:eastAsia="Times New Roman" w:cs="Times New Roman"/>
                <w:b/>
                <w:szCs w:val="24"/>
              </w:rPr>
              <w:t>Vienība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FFA70" w14:textId="77777777" w:rsidR="00EE7B5C" w:rsidRPr="00664D8C" w:rsidRDefault="00EE7B5C" w:rsidP="00EE7B5C">
            <w:pPr>
              <w:jc w:val="center"/>
              <w:rPr>
                <w:rFonts w:eastAsia="Times New Roman" w:cs="Times New Roman"/>
                <w:b/>
                <w:szCs w:val="24"/>
              </w:rPr>
            </w:pPr>
            <w:r w:rsidRPr="00664D8C">
              <w:rPr>
                <w:rFonts w:eastAsia="Times New Roman" w:cs="Times New Roman"/>
                <w:b/>
                <w:szCs w:val="24"/>
              </w:rPr>
              <w:t>Cena par norādīto vienību EUR (bez PVN)</w:t>
            </w:r>
          </w:p>
        </w:tc>
      </w:tr>
      <w:tr w:rsidR="00EE7B5C" w:rsidRPr="00664D8C" w14:paraId="5B735764" w14:textId="77777777" w:rsidTr="00EE7B5C">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715D2D8D" w14:textId="77777777" w:rsidR="00EE7B5C" w:rsidRPr="00664D8C" w:rsidRDefault="00EE7B5C" w:rsidP="00EE7B5C">
            <w:pPr>
              <w:numPr>
                <w:ilvl w:val="0"/>
                <w:numId w:val="16"/>
              </w:numPr>
              <w:ind w:right="101" w:hanging="937"/>
              <w:contextualSpacing/>
              <w:jc w:val="both"/>
              <w:rPr>
                <w:rFonts w:eastAsia="Times New Roman" w:cs="Times New Roman"/>
                <w:bCs/>
                <w:szCs w:val="24"/>
                <w:lang w:eastAsia="lv-LV"/>
              </w:rPr>
            </w:pPr>
          </w:p>
          <w:p w14:paraId="1EA97841" w14:textId="77777777" w:rsidR="00EE7B5C" w:rsidRPr="00664D8C" w:rsidRDefault="00EE7B5C" w:rsidP="00EE7B5C">
            <w:pPr>
              <w:ind w:right="849"/>
              <w:jc w:val="center"/>
              <w:rPr>
                <w:lang w:eastAsia="lv-LV"/>
              </w:rPr>
            </w:pPr>
          </w:p>
        </w:tc>
        <w:tc>
          <w:tcPr>
            <w:tcW w:w="5240" w:type="dxa"/>
            <w:tcBorders>
              <w:top w:val="single" w:sz="4" w:space="0" w:color="auto"/>
              <w:left w:val="single" w:sz="4" w:space="0" w:color="auto"/>
              <w:bottom w:val="single" w:sz="4" w:space="0" w:color="auto"/>
              <w:right w:val="single" w:sz="4" w:space="0" w:color="auto"/>
            </w:tcBorders>
          </w:tcPr>
          <w:p w14:paraId="66771D2B" w14:textId="569ADE3C" w:rsidR="00EE7B5C" w:rsidRPr="00664D8C" w:rsidRDefault="00EE7B5C" w:rsidP="00EE7B5C">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9E72EE">
              <w:rPr>
                <w:rFonts w:eastAsia="Times New Roman" w:cs="Times New Roman"/>
                <w:bCs/>
                <w:szCs w:val="24"/>
                <w:lang w:eastAsia="lv-LV"/>
              </w:rPr>
              <w:t xml:space="preserve">Lietota vieglā automašīna </w:t>
            </w:r>
            <w:proofErr w:type="spellStart"/>
            <w:r>
              <w:rPr>
                <w:rFonts w:eastAsia="Times New Roman" w:cs="Times New Roman"/>
                <w:bCs/>
                <w:iCs/>
                <w:szCs w:val="24"/>
                <w:lang w:eastAsia="lv-LV"/>
              </w:rPr>
              <w:t>Mercedes</w:t>
            </w:r>
            <w:proofErr w:type="spellEnd"/>
            <w:r>
              <w:rPr>
                <w:rFonts w:eastAsia="Times New Roman" w:cs="Times New Roman"/>
                <w:bCs/>
                <w:iCs/>
                <w:szCs w:val="24"/>
                <w:lang w:eastAsia="lv-LV"/>
              </w:rPr>
              <w:t xml:space="preserve"> Benz C320</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MK4813</w:t>
            </w:r>
            <w:r w:rsidRPr="009E72EE">
              <w:rPr>
                <w:rFonts w:eastAsia="Times New Roman" w:cs="Times New Roman"/>
                <w:bCs/>
                <w:szCs w:val="24"/>
                <w:lang w:eastAsia="lv-LV"/>
              </w:rPr>
              <w:t xml:space="preserve">, VIN </w:t>
            </w:r>
            <w:r>
              <w:rPr>
                <w:rFonts w:eastAsia="Times New Roman" w:cs="Times New Roman"/>
                <w:bCs/>
                <w:szCs w:val="24"/>
                <w:lang w:eastAsia="lv-LV"/>
              </w:rPr>
              <w:t>W</w:t>
            </w:r>
            <w:r w:rsidRPr="00FE7120">
              <w:rPr>
                <w:rFonts w:eastAsia="Times New Roman" w:cs="Times New Roman"/>
                <w:bCs/>
                <w:szCs w:val="24"/>
                <w:lang w:eastAsia="lv-LV"/>
              </w:rPr>
              <w:t>DB2030641A040680</w:t>
            </w:r>
            <w:r>
              <w:rPr>
                <w:rFonts w:eastAsia="Times New Roman" w:cs="Times New Roman"/>
                <w:bCs/>
                <w:szCs w:val="24"/>
                <w:lang w:eastAsia="lv-LV"/>
              </w:rPr>
              <w:t xml:space="preserve">, </w:t>
            </w:r>
            <w:r w:rsidRPr="009E72EE">
              <w:rPr>
                <w:rFonts w:eastAsia="Times New Roman" w:cs="Times New Roman"/>
                <w:bCs/>
                <w:szCs w:val="24"/>
                <w:lang w:eastAsia="lv-LV"/>
              </w:rPr>
              <w:t xml:space="preserve">bez aizdedzes atslēgām un bez reģistrācijas apliecības, izlaiduma gads </w:t>
            </w:r>
            <w:r>
              <w:rPr>
                <w:rFonts w:eastAsia="Times New Roman" w:cs="Times New Roman"/>
                <w:bCs/>
                <w:szCs w:val="24"/>
                <w:lang w:eastAsia="lv-LV"/>
              </w:rPr>
              <w:t>2000</w:t>
            </w:r>
            <w:r w:rsidRPr="009E72EE">
              <w:rPr>
                <w:rFonts w:eastAsia="Times New Roman" w:cs="Times New Roman"/>
                <w:bCs/>
                <w:szCs w:val="24"/>
                <w:lang w:eastAsia="lv-LV"/>
              </w:rPr>
              <w:t>., pašmasa 1</w:t>
            </w:r>
            <w:r>
              <w:rPr>
                <w:rFonts w:eastAsia="Times New Roman" w:cs="Times New Roman"/>
                <w:bCs/>
                <w:szCs w:val="24"/>
                <w:lang w:eastAsia="lv-LV"/>
              </w:rPr>
              <w:t>565</w:t>
            </w:r>
            <w:r w:rsidRPr="009E72EE">
              <w:rPr>
                <w:rFonts w:eastAsia="Times New Roman" w:cs="Times New Roman"/>
                <w:bCs/>
                <w:szCs w:val="24"/>
                <w:lang w:eastAsia="lv-LV"/>
              </w:rPr>
              <w:t xml:space="preserve"> kg.</w:t>
            </w:r>
          </w:p>
        </w:tc>
        <w:tc>
          <w:tcPr>
            <w:tcW w:w="1144" w:type="dxa"/>
            <w:tcBorders>
              <w:top w:val="single" w:sz="4" w:space="0" w:color="auto"/>
              <w:left w:val="single" w:sz="4" w:space="0" w:color="auto"/>
              <w:bottom w:val="single" w:sz="4" w:space="0" w:color="auto"/>
              <w:right w:val="single" w:sz="4" w:space="0" w:color="auto"/>
            </w:tcBorders>
            <w:vAlign w:val="center"/>
          </w:tcPr>
          <w:p w14:paraId="02A6E65F" w14:textId="77777777" w:rsidR="00EE7B5C" w:rsidRPr="00664D8C" w:rsidRDefault="00EE7B5C" w:rsidP="00EE7B5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57E085A1" w14:textId="77777777" w:rsidR="00EE7B5C" w:rsidRPr="00664D8C" w:rsidRDefault="00EE7B5C" w:rsidP="00EE7B5C">
            <w:pPr>
              <w:ind w:right="138"/>
              <w:jc w:val="center"/>
              <w:rPr>
                <w:rFonts w:eastAsia="Times New Roman" w:cs="Times New Roman"/>
                <w:bCs/>
                <w:szCs w:val="24"/>
                <w:lang w:eastAsia="lv-LV"/>
              </w:rPr>
            </w:pPr>
          </w:p>
        </w:tc>
      </w:tr>
      <w:tr w:rsidR="00EE7B5C" w:rsidRPr="00664D8C" w14:paraId="18C39063" w14:textId="77777777" w:rsidTr="00EE7B5C">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516B0744" w14:textId="77777777" w:rsidR="00EE7B5C" w:rsidRPr="00664D8C" w:rsidRDefault="00EE7B5C" w:rsidP="00EE7B5C">
            <w:pPr>
              <w:numPr>
                <w:ilvl w:val="0"/>
                <w:numId w:val="16"/>
              </w:numPr>
              <w:ind w:right="101" w:hanging="937"/>
              <w:contextualSpacing/>
              <w:jc w:val="both"/>
              <w:rPr>
                <w:rFonts w:eastAsia="Times New Roman" w:cs="Times New Roman"/>
                <w:bCs/>
                <w:szCs w:val="24"/>
                <w:lang w:eastAsia="lv-LV"/>
              </w:rPr>
            </w:pPr>
          </w:p>
        </w:tc>
        <w:tc>
          <w:tcPr>
            <w:tcW w:w="5240" w:type="dxa"/>
            <w:tcBorders>
              <w:top w:val="single" w:sz="4" w:space="0" w:color="auto"/>
              <w:left w:val="single" w:sz="4" w:space="0" w:color="auto"/>
              <w:bottom w:val="single" w:sz="4" w:space="0" w:color="auto"/>
              <w:right w:val="single" w:sz="4" w:space="0" w:color="auto"/>
            </w:tcBorders>
          </w:tcPr>
          <w:p w14:paraId="1202A7AE" w14:textId="0E4C8B80" w:rsidR="00EE7B5C" w:rsidRPr="009E72EE" w:rsidRDefault="00EE7B5C" w:rsidP="00EE7B5C">
            <w:pPr>
              <w:widowControl w:val="0"/>
              <w:tabs>
                <w:tab w:val="left" w:pos="1499"/>
              </w:tabs>
              <w:spacing w:line="274" w:lineRule="exact"/>
              <w:ind w:left="108" w:right="130"/>
              <w:jc w:val="both"/>
              <w:rPr>
                <w:rFonts w:eastAsia="Times New Roman" w:cs="Times New Roman"/>
                <w:bCs/>
                <w:szCs w:val="24"/>
                <w:lang w:eastAsia="lv-LV"/>
              </w:rPr>
            </w:pPr>
            <w:r w:rsidRPr="009E72EE">
              <w:rPr>
                <w:rFonts w:eastAsia="Times New Roman" w:cs="Times New Roman"/>
                <w:bCs/>
                <w:szCs w:val="24"/>
                <w:lang w:eastAsia="lv-LV"/>
              </w:rPr>
              <w:t xml:space="preserve">Lietota vieglā automašīna </w:t>
            </w:r>
            <w:proofErr w:type="spellStart"/>
            <w:r>
              <w:rPr>
                <w:rFonts w:eastAsia="Times New Roman" w:cs="Times New Roman"/>
                <w:bCs/>
                <w:iCs/>
                <w:szCs w:val="24"/>
                <w:lang w:eastAsia="lv-LV"/>
              </w:rPr>
              <w:t>Volkswagen</w:t>
            </w:r>
            <w:proofErr w:type="spellEnd"/>
            <w:r>
              <w:rPr>
                <w:rFonts w:eastAsia="Times New Roman" w:cs="Times New Roman"/>
                <w:bCs/>
                <w:iCs/>
                <w:szCs w:val="24"/>
                <w:lang w:eastAsia="lv-LV"/>
              </w:rPr>
              <w:t xml:space="preserve"> Golf</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VR7230</w:t>
            </w:r>
            <w:r w:rsidRPr="009E72EE">
              <w:rPr>
                <w:rFonts w:eastAsia="Times New Roman" w:cs="Times New Roman"/>
                <w:bCs/>
                <w:szCs w:val="24"/>
                <w:lang w:eastAsia="lv-LV"/>
              </w:rPr>
              <w:t xml:space="preserve">, VIN </w:t>
            </w:r>
            <w:r w:rsidRPr="00FE7120">
              <w:rPr>
                <w:rFonts w:eastAsia="Times New Roman" w:cs="Times New Roman"/>
                <w:bCs/>
                <w:szCs w:val="24"/>
                <w:lang w:eastAsia="lv-LV"/>
              </w:rPr>
              <w:t>WVWZZZ1JZXW618925</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w:t>
            </w:r>
            <w:r>
              <w:rPr>
                <w:rFonts w:eastAsia="Times New Roman" w:cs="Times New Roman"/>
                <w:bCs/>
                <w:szCs w:val="24"/>
                <w:lang w:eastAsia="lv-LV"/>
              </w:rPr>
              <w:t xml:space="preserve">, </w:t>
            </w:r>
            <w:r w:rsidRPr="009E72EE">
              <w:rPr>
                <w:rFonts w:eastAsia="Times New Roman" w:cs="Times New Roman"/>
                <w:bCs/>
                <w:szCs w:val="24"/>
                <w:lang w:eastAsia="lv-LV"/>
              </w:rPr>
              <w:t>bez reģistrācijas apliecības, izlaiduma gads 199</w:t>
            </w:r>
            <w:r>
              <w:rPr>
                <w:rFonts w:eastAsia="Times New Roman" w:cs="Times New Roman"/>
                <w:bCs/>
                <w:szCs w:val="24"/>
                <w:lang w:eastAsia="lv-LV"/>
              </w:rPr>
              <w:t>9</w:t>
            </w:r>
            <w:r w:rsidRPr="009E72EE">
              <w:rPr>
                <w:rFonts w:eastAsia="Times New Roman" w:cs="Times New Roman"/>
                <w:bCs/>
                <w:szCs w:val="24"/>
                <w:lang w:eastAsia="lv-LV"/>
              </w:rPr>
              <w:t>., pašmasa 1</w:t>
            </w:r>
            <w:r>
              <w:rPr>
                <w:rFonts w:eastAsia="Times New Roman" w:cs="Times New Roman"/>
                <w:bCs/>
                <w:szCs w:val="24"/>
                <w:lang w:eastAsia="lv-LV"/>
              </w:rPr>
              <w:t>137</w:t>
            </w:r>
            <w:r w:rsidRPr="009E72EE">
              <w:rPr>
                <w:rFonts w:eastAsia="Times New Roman" w:cs="Times New Roman"/>
                <w:bCs/>
                <w:szCs w:val="24"/>
                <w:lang w:eastAsia="lv-LV"/>
              </w:rPr>
              <w:t xml:space="preserve"> kg.</w:t>
            </w:r>
          </w:p>
        </w:tc>
        <w:tc>
          <w:tcPr>
            <w:tcW w:w="1144" w:type="dxa"/>
            <w:tcBorders>
              <w:top w:val="single" w:sz="4" w:space="0" w:color="auto"/>
              <w:left w:val="single" w:sz="4" w:space="0" w:color="auto"/>
              <w:bottom w:val="single" w:sz="4" w:space="0" w:color="auto"/>
              <w:right w:val="single" w:sz="4" w:space="0" w:color="auto"/>
            </w:tcBorders>
            <w:vAlign w:val="center"/>
          </w:tcPr>
          <w:p w14:paraId="0AE767E0" w14:textId="0C2EE1BE" w:rsidR="00EE7B5C" w:rsidRPr="00664D8C" w:rsidRDefault="00EE7B5C" w:rsidP="00EE7B5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6A88AF8C" w14:textId="77777777" w:rsidR="00EE7B5C" w:rsidRPr="00664D8C" w:rsidRDefault="00EE7B5C" w:rsidP="00EE7B5C">
            <w:pPr>
              <w:ind w:right="138"/>
              <w:jc w:val="center"/>
              <w:rPr>
                <w:rFonts w:eastAsia="Times New Roman" w:cs="Times New Roman"/>
                <w:bCs/>
                <w:szCs w:val="24"/>
                <w:lang w:eastAsia="lv-LV"/>
              </w:rPr>
            </w:pPr>
          </w:p>
        </w:tc>
      </w:tr>
      <w:tr w:rsidR="00EE7B5C" w:rsidRPr="00664D8C" w14:paraId="417A485C" w14:textId="77777777" w:rsidTr="00EE7B5C">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2F0563D4" w14:textId="77777777" w:rsidR="00EE7B5C" w:rsidRPr="00664D8C" w:rsidRDefault="00EE7B5C" w:rsidP="00EE7B5C">
            <w:pPr>
              <w:numPr>
                <w:ilvl w:val="0"/>
                <w:numId w:val="16"/>
              </w:numPr>
              <w:ind w:right="101" w:hanging="937"/>
              <w:contextualSpacing/>
              <w:jc w:val="both"/>
              <w:rPr>
                <w:rFonts w:eastAsia="Times New Roman" w:cs="Times New Roman"/>
                <w:bCs/>
                <w:szCs w:val="24"/>
                <w:lang w:eastAsia="lv-LV"/>
              </w:rPr>
            </w:pPr>
          </w:p>
        </w:tc>
        <w:tc>
          <w:tcPr>
            <w:tcW w:w="5240" w:type="dxa"/>
            <w:tcBorders>
              <w:top w:val="single" w:sz="4" w:space="0" w:color="auto"/>
              <w:left w:val="single" w:sz="4" w:space="0" w:color="auto"/>
              <w:bottom w:val="single" w:sz="4" w:space="0" w:color="auto"/>
              <w:right w:val="single" w:sz="4" w:space="0" w:color="auto"/>
            </w:tcBorders>
          </w:tcPr>
          <w:p w14:paraId="7CD37B1A" w14:textId="29906FF7" w:rsidR="00EE7B5C" w:rsidRPr="009E72EE" w:rsidRDefault="00EE7B5C" w:rsidP="00EE7B5C">
            <w:pPr>
              <w:widowControl w:val="0"/>
              <w:tabs>
                <w:tab w:val="left" w:pos="1499"/>
              </w:tabs>
              <w:spacing w:line="274" w:lineRule="exact"/>
              <w:ind w:left="108" w:right="130"/>
              <w:jc w:val="both"/>
              <w:rPr>
                <w:rFonts w:eastAsia="Times New Roman" w:cs="Times New Roman"/>
                <w:bCs/>
                <w:szCs w:val="24"/>
                <w:lang w:eastAsia="lv-LV"/>
              </w:rPr>
            </w:pPr>
            <w:r>
              <w:rPr>
                <w:rFonts w:eastAsia="Times New Roman" w:cs="Times New Roman"/>
                <w:bCs/>
                <w:szCs w:val="24"/>
                <w:lang w:eastAsia="lv-LV"/>
              </w:rPr>
              <w:t>Mikroautobuss</w:t>
            </w:r>
            <w:r w:rsidRPr="009E72EE">
              <w:rPr>
                <w:rFonts w:eastAsia="Times New Roman" w:cs="Times New Roman"/>
                <w:bCs/>
                <w:szCs w:val="24"/>
                <w:lang w:eastAsia="lv-LV"/>
              </w:rPr>
              <w:t xml:space="preserve"> </w:t>
            </w:r>
            <w:proofErr w:type="spellStart"/>
            <w:r>
              <w:rPr>
                <w:rFonts w:eastAsia="Times New Roman" w:cs="Times New Roman"/>
                <w:bCs/>
                <w:iCs/>
                <w:szCs w:val="24"/>
                <w:lang w:eastAsia="lv-LV"/>
              </w:rPr>
              <w:t>Volkswagen</w:t>
            </w:r>
            <w:proofErr w:type="spellEnd"/>
            <w:r>
              <w:rPr>
                <w:rFonts w:eastAsia="Times New Roman" w:cs="Times New Roman"/>
                <w:bCs/>
                <w:iCs/>
                <w:szCs w:val="24"/>
                <w:lang w:eastAsia="lv-LV"/>
              </w:rPr>
              <w:t xml:space="preserve"> </w:t>
            </w:r>
            <w:proofErr w:type="spellStart"/>
            <w:r>
              <w:rPr>
                <w:rFonts w:eastAsia="Times New Roman" w:cs="Times New Roman"/>
                <w:bCs/>
                <w:iCs/>
                <w:szCs w:val="24"/>
                <w:lang w:eastAsia="lv-LV"/>
              </w:rPr>
              <w:t>Caravelle</w:t>
            </w:r>
            <w:proofErr w:type="spellEnd"/>
            <w:r w:rsidRPr="009E72EE">
              <w:rPr>
                <w:rFonts w:eastAsia="Times New Roman" w:cs="Times New Roman"/>
                <w:bCs/>
                <w:szCs w:val="24"/>
                <w:lang w:eastAsia="lv-LV"/>
              </w:rPr>
              <w:t xml:space="preserve">, reģistrācijas numurs </w:t>
            </w:r>
            <w:r>
              <w:rPr>
                <w:rFonts w:eastAsia="Times New Roman" w:cs="Times New Roman"/>
                <w:bCs/>
                <w:szCs w:val="24"/>
                <w:lang w:eastAsia="lv-LV"/>
              </w:rPr>
              <w:t>KA6670</w:t>
            </w:r>
            <w:r w:rsidRPr="009E72EE">
              <w:rPr>
                <w:rFonts w:eastAsia="Times New Roman" w:cs="Times New Roman"/>
                <w:bCs/>
                <w:szCs w:val="24"/>
                <w:lang w:eastAsia="lv-LV"/>
              </w:rPr>
              <w:t xml:space="preserve">, VIN </w:t>
            </w:r>
            <w:r w:rsidRPr="0054383B">
              <w:rPr>
                <w:rFonts w:eastAsia="Times New Roman" w:cs="Times New Roman"/>
                <w:bCs/>
                <w:szCs w:val="24"/>
                <w:lang w:eastAsia="lv-LV"/>
              </w:rPr>
              <w:t>WV2ZZZ70ZXH000284</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w:t>
            </w:r>
            <w:r>
              <w:rPr>
                <w:rFonts w:eastAsia="Times New Roman" w:cs="Times New Roman"/>
                <w:bCs/>
                <w:szCs w:val="24"/>
                <w:lang w:eastAsia="lv-LV"/>
              </w:rPr>
              <w:t>,</w:t>
            </w:r>
            <w:r w:rsidRPr="009E72EE">
              <w:rPr>
                <w:rFonts w:eastAsia="Times New Roman" w:cs="Times New Roman"/>
                <w:bCs/>
                <w:szCs w:val="24"/>
                <w:lang w:eastAsia="lv-LV"/>
              </w:rPr>
              <w:t xml:space="preserve"> bez reģistrācijas apliecības, izlaiduma gads </w:t>
            </w:r>
            <w:r>
              <w:rPr>
                <w:rFonts w:eastAsia="Times New Roman" w:cs="Times New Roman"/>
                <w:bCs/>
                <w:szCs w:val="24"/>
                <w:lang w:eastAsia="lv-LV"/>
              </w:rPr>
              <w:t>2001</w:t>
            </w:r>
            <w:r w:rsidRPr="009E72EE">
              <w:rPr>
                <w:rFonts w:eastAsia="Times New Roman" w:cs="Times New Roman"/>
                <w:bCs/>
                <w:szCs w:val="24"/>
                <w:lang w:eastAsia="lv-LV"/>
              </w:rPr>
              <w:t>., pašmasa 1</w:t>
            </w:r>
            <w:r>
              <w:rPr>
                <w:rFonts w:eastAsia="Times New Roman" w:cs="Times New Roman"/>
                <w:bCs/>
                <w:szCs w:val="24"/>
                <w:lang w:eastAsia="lv-LV"/>
              </w:rPr>
              <w:t>950</w:t>
            </w:r>
            <w:r w:rsidRPr="009E72EE">
              <w:rPr>
                <w:rFonts w:eastAsia="Times New Roman" w:cs="Times New Roman"/>
                <w:bCs/>
                <w:szCs w:val="24"/>
                <w:lang w:eastAsia="lv-LV"/>
              </w:rPr>
              <w:t xml:space="preserve"> kg.</w:t>
            </w:r>
          </w:p>
        </w:tc>
        <w:tc>
          <w:tcPr>
            <w:tcW w:w="1144" w:type="dxa"/>
            <w:tcBorders>
              <w:top w:val="single" w:sz="4" w:space="0" w:color="auto"/>
              <w:left w:val="single" w:sz="4" w:space="0" w:color="auto"/>
              <w:bottom w:val="single" w:sz="4" w:space="0" w:color="auto"/>
              <w:right w:val="single" w:sz="4" w:space="0" w:color="auto"/>
            </w:tcBorders>
            <w:vAlign w:val="center"/>
          </w:tcPr>
          <w:p w14:paraId="58269266" w14:textId="06AA895B" w:rsidR="00EE7B5C" w:rsidRPr="00664D8C" w:rsidRDefault="00EE7B5C" w:rsidP="00EE7B5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5ACB39EE" w14:textId="77777777" w:rsidR="00EE7B5C" w:rsidRPr="00664D8C" w:rsidRDefault="00EE7B5C" w:rsidP="00EE7B5C">
            <w:pPr>
              <w:ind w:right="138"/>
              <w:jc w:val="center"/>
              <w:rPr>
                <w:rFonts w:eastAsia="Times New Roman" w:cs="Times New Roman"/>
                <w:bCs/>
                <w:szCs w:val="24"/>
                <w:lang w:eastAsia="lv-LV"/>
              </w:rPr>
            </w:pPr>
          </w:p>
        </w:tc>
      </w:tr>
      <w:tr w:rsidR="00EE7B5C" w:rsidRPr="00664D8C" w14:paraId="78D56FFB" w14:textId="77777777" w:rsidTr="00EE7B5C">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2213F812" w14:textId="77777777" w:rsidR="00EE7B5C" w:rsidRPr="00664D8C" w:rsidRDefault="00EE7B5C" w:rsidP="00EE7B5C">
            <w:pPr>
              <w:numPr>
                <w:ilvl w:val="0"/>
                <w:numId w:val="16"/>
              </w:numPr>
              <w:ind w:right="101" w:hanging="937"/>
              <w:contextualSpacing/>
              <w:jc w:val="both"/>
              <w:rPr>
                <w:rFonts w:eastAsia="Times New Roman" w:cs="Times New Roman"/>
                <w:bCs/>
                <w:szCs w:val="24"/>
                <w:lang w:eastAsia="lv-LV"/>
              </w:rPr>
            </w:pPr>
          </w:p>
        </w:tc>
        <w:tc>
          <w:tcPr>
            <w:tcW w:w="5240" w:type="dxa"/>
            <w:tcBorders>
              <w:top w:val="single" w:sz="4" w:space="0" w:color="auto"/>
              <w:left w:val="single" w:sz="4" w:space="0" w:color="auto"/>
              <w:bottom w:val="single" w:sz="4" w:space="0" w:color="auto"/>
              <w:right w:val="single" w:sz="4" w:space="0" w:color="auto"/>
            </w:tcBorders>
          </w:tcPr>
          <w:p w14:paraId="73208F2C" w14:textId="25240EA1" w:rsidR="00EE7B5C" w:rsidRPr="009E72EE" w:rsidRDefault="00EE7B5C" w:rsidP="00EE7B5C">
            <w:pPr>
              <w:widowControl w:val="0"/>
              <w:tabs>
                <w:tab w:val="left" w:pos="1499"/>
              </w:tabs>
              <w:spacing w:line="274" w:lineRule="exact"/>
              <w:ind w:left="108" w:right="130"/>
              <w:jc w:val="both"/>
              <w:rPr>
                <w:rFonts w:eastAsia="Times New Roman" w:cs="Times New Roman"/>
                <w:bCs/>
                <w:szCs w:val="24"/>
                <w:lang w:eastAsia="lv-LV"/>
              </w:rPr>
            </w:pPr>
            <w:r w:rsidRPr="009E72EE">
              <w:rPr>
                <w:rFonts w:eastAsia="Times New Roman" w:cs="Times New Roman"/>
                <w:bCs/>
                <w:szCs w:val="24"/>
                <w:lang w:eastAsia="lv-LV"/>
              </w:rPr>
              <w:t xml:space="preserve">Lietota vieglā automašīna </w:t>
            </w:r>
            <w:r>
              <w:rPr>
                <w:rFonts w:eastAsia="Times New Roman" w:cs="Times New Roman"/>
                <w:bCs/>
                <w:iCs/>
                <w:szCs w:val="24"/>
                <w:lang w:eastAsia="lv-LV"/>
              </w:rPr>
              <w:t>Peugeot 607</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HV4214</w:t>
            </w:r>
            <w:r w:rsidRPr="009E72EE">
              <w:rPr>
                <w:rFonts w:eastAsia="Times New Roman" w:cs="Times New Roman"/>
                <w:bCs/>
                <w:szCs w:val="24"/>
                <w:lang w:eastAsia="lv-LV"/>
              </w:rPr>
              <w:t xml:space="preserve">, VIN </w:t>
            </w:r>
            <w:r w:rsidRPr="0054383B">
              <w:rPr>
                <w:rFonts w:eastAsia="Times New Roman" w:cs="Times New Roman"/>
                <w:bCs/>
                <w:szCs w:val="24"/>
                <w:lang w:eastAsia="lv-LV"/>
              </w:rPr>
              <w:t>VF39D4HXE92036907</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w:t>
            </w:r>
            <w:r>
              <w:rPr>
                <w:rFonts w:eastAsia="Times New Roman" w:cs="Times New Roman"/>
                <w:bCs/>
                <w:szCs w:val="24"/>
                <w:lang w:eastAsia="lv-LV"/>
              </w:rPr>
              <w:t>,</w:t>
            </w:r>
            <w:r w:rsidRPr="009E72EE">
              <w:rPr>
                <w:rFonts w:eastAsia="Times New Roman" w:cs="Times New Roman"/>
                <w:bCs/>
                <w:szCs w:val="24"/>
                <w:lang w:eastAsia="lv-LV"/>
              </w:rPr>
              <w:t xml:space="preserve"> bez reģistrācijas apliecības, izlaiduma gads </w:t>
            </w:r>
            <w:r>
              <w:rPr>
                <w:rFonts w:eastAsia="Times New Roman" w:cs="Times New Roman"/>
                <w:bCs/>
                <w:szCs w:val="24"/>
                <w:lang w:eastAsia="lv-LV"/>
              </w:rPr>
              <w:t>2001</w:t>
            </w:r>
            <w:r w:rsidRPr="009E72EE">
              <w:rPr>
                <w:rFonts w:eastAsia="Times New Roman" w:cs="Times New Roman"/>
                <w:bCs/>
                <w:szCs w:val="24"/>
                <w:lang w:eastAsia="lv-LV"/>
              </w:rPr>
              <w:t>., pašmasa 1</w:t>
            </w:r>
            <w:r>
              <w:rPr>
                <w:rFonts w:eastAsia="Times New Roman" w:cs="Times New Roman"/>
                <w:bCs/>
                <w:szCs w:val="24"/>
                <w:lang w:eastAsia="lv-LV"/>
              </w:rPr>
              <w:t>625</w:t>
            </w:r>
            <w:r w:rsidRPr="009E72EE">
              <w:rPr>
                <w:rFonts w:eastAsia="Times New Roman" w:cs="Times New Roman"/>
                <w:bCs/>
                <w:szCs w:val="24"/>
                <w:lang w:eastAsia="lv-LV"/>
              </w:rPr>
              <w:t xml:space="preserve"> kg.</w:t>
            </w:r>
          </w:p>
        </w:tc>
        <w:tc>
          <w:tcPr>
            <w:tcW w:w="1144" w:type="dxa"/>
            <w:tcBorders>
              <w:top w:val="single" w:sz="4" w:space="0" w:color="auto"/>
              <w:left w:val="single" w:sz="4" w:space="0" w:color="auto"/>
              <w:bottom w:val="single" w:sz="4" w:space="0" w:color="auto"/>
              <w:right w:val="single" w:sz="4" w:space="0" w:color="auto"/>
            </w:tcBorders>
            <w:vAlign w:val="center"/>
          </w:tcPr>
          <w:p w14:paraId="43217382" w14:textId="7A27E4DD" w:rsidR="00EE7B5C" w:rsidRPr="00664D8C" w:rsidRDefault="00EE7B5C" w:rsidP="00EE7B5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75592B0C" w14:textId="77777777" w:rsidR="00EE7B5C" w:rsidRPr="00664D8C" w:rsidRDefault="00EE7B5C" w:rsidP="00EE7B5C">
            <w:pPr>
              <w:ind w:right="138"/>
              <w:jc w:val="center"/>
              <w:rPr>
                <w:rFonts w:eastAsia="Times New Roman" w:cs="Times New Roman"/>
                <w:bCs/>
                <w:szCs w:val="24"/>
                <w:lang w:eastAsia="lv-LV"/>
              </w:rPr>
            </w:pPr>
          </w:p>
        </w:tc>
      </w:tr>
      <w:tr w:rsidR="00EE7B5C" w:rsidRPr="00664D8C" w14:paraId="6FBDF8B1" w14:textId="77777777" w:rsidTr="00EE7B5C">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28E70980" w14:textId="77777777" w:rsidR="00EE7B5C" w:rsidRPr="00664D8C" w:rsidRDefault="00EE7B5C" w:rsidP="00EE7B5C">
            <w:pPr>
              <w:numPr>
                <w:ilvl w:val="0"/>
                <w:numId w:val="16"/>
              </w:numPr>
              <w:ind w:right="101" w:hanging="937"/>
              <w:contextualSpacing/>
              <w:jc w:val="both"/>
              <w:rPr>
                <w:rFonts w:eastAsia="Times New Roman" w:cs="Times New Roman"/>
                <w:bCs/>
                <w:szCs w:val="24"/>
                <w:lang w:eastAsia="lv-LV"/>
              </w:rPr>
            </w:pPr>
          </w:p>
        </w:tc>
        <w:tc>
          <w:tcPr>
            <w:tcW w:w="5240" w:type="dxa"/>
            <w:tcBorders>
              <w:top w:val="single" w:sz="4" w:space="0" w:color="auto"/>
              <w:left w:val="single" w:sz="4" w:space="0" w:color="auto"/>
              <w:bottom w:val="single" w:sz="4" w:space="0" w:color="auto"/>
              <w:right w:val="single" w:sz="4" w:space="0" w:color="auto"/>
            </w:tcBorders>
          </w:tcPr>
          <w:p w14:paraId="42644266" w14:textId="7351FD4B" w:rsidR="00EE7B5C" w:rsidRPr="009E72EE" w:rsidRDefault="00EE7B5C" w:rsidP="00EE7B5C">
            <w:pPr>
              <w:widowControl w:val="0"/>
              <w:tabs>
                <w:tab w:val="left" w:pos="1499"/>
              </w:tabs>
              <w:spacing w:line="274" w:lineRule="exact"/>
              <w:ind w:left="108" w:right="130"/>
              <w:jc w:val="both"/>
              <w:rPr>
                <w:rFonts w:eastAsia="Times New Roman" w:cs="Times New Roman"/>
                <w:bCs/>
                <w:szCs w:val="24"/>
                <w:lang w:eastAsia="lv-LV"/>
              </w:rPr>
            </w:pPr>
            <w:r w:rsidRPr="009E72EE">
              <w:rPr>
                <w:rFonts w:eastAsia="Times New Roman" w:cs="Times New Roman"/>
                <w:bCs/>
                <w:szCs w:val="24"/>
                <w:lang w:eastAsia="lv-LV"/>
              </w:rPr>
              <w:t xml:space="preserve">Lietota vieglā automašīna </w:t>
            </w:r>
            <w:proofErr w:type="spellStart"/>
            <w:r>
              <w:rPr>
                <w:rFonts w:eastAsia="Times New Roman" w:cs="Times New Roman"/>
                <w:bCs/>
                <w:iCs/>
                <w:szCs w:val="24"/>
                <w:lang w:eastAsia="lv-LV"/>
              </w:rPr>
              <w:t>Volkswagen</w:t>
            </w:r>
            <w:proofErr w:type="spellEnd"/>
            <w:r>
              <w:rPr>
                <w:rFonts w:eastAsia="Times New Roman" w:cs="Times New Roman"/>
                <w:bCs/>
                <w:iCs/>
                <w:szCs w:val="24"/>
                <w:lang w:eastAsia="lv-LV"/>
              </w:rPr>
              <w:t xml:space="preserve"> Golf Variant</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KF3403</w:t>
            </w:r>
            <w:r w:rsidRPr="009E72EE">
              <w:rPr>
                <w:rFonts w:eastAsia="Times New Roman" w:cs="Times New Roman"/>
                <w:bCs/>
                <w:szCs w:val="24"/>
                <w:lang w:eastAsia="lv-LV"/>
              </w:rPr>
              <w:t xml:space="preserve">, VIN </w:t>
            </w:r>
            <w:r w:rsidRPr="0054383B">
              <w:rPr>
                <w:rFonts w:eastAsia="Times New Roman" w:cs="Times New Roman"/>
                <w:bCs/>
                <w:szCs w:val="24"/>
                <w:lang w:eastAsia="lv-LV"/>
              </w:rPr>
              <w:t>WVWZZZ1JZ3W132177</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w:t>
            </w:r>
            <w:r>
              <w:rPr>
                <w:rFonts w:eastAsia="Times New Roman" w:cs="Times New Roman"/>
                <w:bCs/>
                <w:szCs w:val="24"/>
                <w:lang w:eastAsia="lv-LV"/>
              </w:rPr>
              <w:t>,</w:t>
            </w:r>
            <w:r w:rsidRPr="009E72EE">
              <w:rPr>
                <w:rFonts w:eastAsia="Times New Roman" w:cs="Times New Roman"/>
                <w:bCs/>
                <w:szCs w:val="24"/>
                <w:lang w:eastAsia="lv-LV"/>
              </w:rPr>
              <w:t xml:space="preserve"> bez reģistrācijas apliecības, izlaiduma gads </w:t>
            </w:r>
            <w:r>
              <w:rPr>
                <w:rFonts w:eastAsia="Times New Roman" w:cs="Times New Roman"/>
                <w:bCs/>
                <w:szCs w:val="24"/>
                <w:lang w:eastAsia="lv-LV"/>
              </w:rPr>
              <w:t>2002</w:t>
            </w:r>
            <w:r w:rsidRPr="009E72EE">
              <w:rPr>
                <w:rFonts w:eastAsia="Times New Roman" w:cs="Times New Roman"/>
                <w:bCs/>
                <w:szCs w:val="24"/>
                <w:lang w:eastAsia="lv-LV"/>
              </w:rPr>
              <w:t>., pašmasa 13</w:t>
            </w:r>
            <w:r>
              <w:rPr>
                <w:rFonts w:eastAsia="Times New Roman" w:cs="Times New Roman"/>
                <w:bCs/>
                <w:szCs w:val="24"/>
                <w:lang w:eastAsia="lv-LV"/>
              </w:rPr>
              <w:t>95</w:t>
            </w:r>
            <w:r w:rsidRPr="009E72EE">
              <w:rPr>
                <w:rFonts w:eastAsia="Times New Roman" w:cs="Times New Roman"/>
                <w:bCs/>
                <w:szCs w:val="24"/>
                <w:lang w:eastAsia="lv-LV"/>
              </w:rPr>
              <w:t xml:space="preserve"> kg.</w:t>
            </w:r>
          </w:p>
        </w:tc>
        <w:tc>
          <w:tcPr>
            <w:tcW w:w="1144" w:type="dxa"/>
            <w:tcBorders>
              <w:top w:val="single" w:sz="4" w:space="0" w:color="auto"/>
              <w:left w:val="single" w:sz="4" w:space="0" w:color="auto"/>
              <w:bottom w:val="single" w:sz="4" w:space="0" w:color="auto"/>
              <w:right w:val="single" w:sz="4" w:space="0" w:color="auto"/>
            </w:tcBorders>
            <w:vAlign w:val="center"/>
          </w:tcPr>
          <w:p w14:paraId="1B542729" w14:textId="7BD993A5" w:rsidR="00EE7B5C" w:rsidRPr="00664D8C" w:rsidRDefault="00EE7B5C" w:rsidP="00EE7B5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066F1D26" w14:textId="77777777" w:rsidR="00EE7B5C" w:rsidRPr="00664D8C" w:rsidRDefault="00EE7B5C" w:rsidP="00EE7B5C">
            <w:pPr>
              <w:ind w:right="138"/>
              <w:jc w:val="center"/>
              <w:rPr>
                <w:rFonts w:eastAsia="Times New Roman" w:cs="Times New Roman"/>
                <w:bCs/>
                <w:szCs w:val="24"/>
                <w:lang w:eastAsia="lv-LV"/>
              </w:rPr>
            </w:pPr>
          </w:p>
        </w:tc>
      </w:tr>
      <w:tr w:rsidR="00EE7B5C" w:rsidRPr="00664D8C" w14:paraId="49514CC1" w14:textId="77777777" w:rsidTr="00EE7B5C">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11F31E66" w14:textId="77777777" w:rsidR="00EE7B5C" w:rsidRPr="00664D8C" w:rsidRDefault="00EE7B5C" w:rsidP="00EE7B5C">
            <w:pPr>
              <w:numPr>
                <w:ilvl w:val="0"/>
                <w:numId w:val="16"/>
              </w:numPr>
              <w:ind w:right="101" w:hanging="937"/>
              <w:contextualSpacing/>
              <w:jc w:val="both"/>
              <w:rPr>
                <w:rFonts w:eastAsia="Times New Roman" w:cs="Times New Roman"/>
                <w:bCs/>
                <w:szCs w:val="24"/>
                <w:lang w:eastAsia="lv-LV"/>
              </w:rPr>
            </w:pPr>
          </w:p>
        </w:tc>
        <w:tc>
          <w:tcPr>
            <w:tcW w:w="5240" w:type="dxa"/>
            <w:tcBorders>
              <w:top w:val="single" w:sz="4" w:space="0" w:color="auto"/>
              <w:left w:val="single" w:sz="4" w:space="0" w:color="auto"/>
              <w:bottom w:val="single" w:sz="4" w:space="0" w:color="auto"/>
              <w:right w:val="single" w:sz="4" w:space="0" w:color="auto"/>
            </w:tcBorders>
          </w:tcPr>
          <w:p w14:paraId="36E1F005" w14:textId="2B6F190A" w:rsidR="00EE7B5C" w:rsidRPr="009E72EE" w:rsidRDefault="00EE7B5C" w:rsidP="00EE7B5C">
            <w:pPr>
              <w:widowControl w:val="0"/>
              <w:tabs>
                <w:tab w:val="left" w:pos="1499"/>
              </w:tabs>
              <w:spacing w:line="274" w:lineRule="exact"/>
              <w:ind w:left="108" w:right="130"/>
              <w:jc w:val="both"/>
              <w:rPr>
                <w:rFonts w:eastAsia="Times New Roman" w:cs="Times New Roman"/>
                <w:bCs/>
                <w:szCs w:val="24"/>
                <w:lang w:eastAsia="lv-LV"/>
              </w:rPr>
            </w:pPr>
            <w:r w:rsidRPr="009E72EE">
              <w:rPr>
                <w:rFonts w:eastAsia="Times New Roman" w:cs="Times New Roman"/>
                <w:bCs/>
                <w:szCs w:val="24"/>
                <w:lang w:eastAsia="lv-LV"/>
              </w:rPr>
              <w:t xml:space="preserve">Lietota vieglā automašīna </w:t>
            </w:r>
            <w:r>
              <w:rPr>
                <w:rFonts w:eastAsia="Times New Roman" w:cs="Times New Roman"/>
                <w:bCs/>
                <w:iCs/>
                <w:szCs w:val="24"/>
                <w:lang w:eastAsia="lv-LV"/>
              </w:rPr>
              <w:t xml:space="preserve">Ford </w:t>
            </w:r>
            <w:proofErr w:type="spellStart"/>
            <w:r>
              <w:rPr>
                <w:rFonts w:eastAsia="Times New Roman" w:cs="Times New Roman"/>
                <w:bCs/>
                <w:iCs/>
                <w:szCs w:val="24"/>
                <w:lang w:eastAsia="lv-LV"/>
              </w:rPr>
              <w:t>Galaxy</w:t>
            </w:r>
            <w:proofErr w:type="spellEnd"/>
            <w:r w:rsidRPr="009E72EE">
              <w:rPr>
                <w:rFonts w:eastAsia="Times New Roman" w:cs="Times New Roman"/>
                <w:bCs/>
                <w:szCs w:val="24"/>
                <w:lang w:eastAsia="lv-LV"/>
              </w:rPr>
              <w:t xml:space="preserve">, reģistrācijas numurs </w:t>
            </w:r>
            <w:r>
              <w:rPr>
                <w:rFonts w:eastAsia="Times New Roman" w:cs="Times New Roman"/>
                <w:bCs/>
                <w:szCs w:val="24"/>
                <w:lang w:eastAsia="lv-LV"/>
              </w:rPr>
              <w:t>HF7834</w:t>
            </w:r>
            <w:r w:rsidRPr="009E72EE">
              <w:rPr>
                <w:rFonts w:eastAsia="Times New Roman" w:cs="Times New Roman"/>
                <w:bCs/>
                <w:szCs w:val="24"/>
                <w:lang w:eastAsia="lv-LV"/>
              </w:rPr>
              <w:t xml:space="preserve">, VIN </w:t>
            </w:r>
            <w:r w:rsidRPr="0054383B">
              <w:rPr>
                <w:rFonts w:eastAsia="Times New Roman" w:cs="Times New Roman"/>
                <w:bCs/>
                <w:szCs w:val="24"/>
                <w:lang w:eastAsia="lv-LV"/>
              </w:rPr>
              <w:t>WF0GXXPSWGWB75403</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w:t>
            </w:r>
            <w:r>
              <w:rPr>
                <w:rFonts w:eastAsia="Times New Roman" w:cs="Times New Roman"/>
                <w:bCs/>
                <w:szCs w:val="24"/>
                <w:lang w:eastAsia="lv-LV"/>
              </w:rPr>
              <w:t>,</w:t>
            </w:r>
            <w:r w:rsidRPr="009E72EE">
              <w:rPr>
                <w:rFonts w:eastAsia="Times New Roman" w:cs="Times New Roman"/>
                <w:bCs/>
                <w:szCs w:val="24"/>
                <w:lang w:eastAsia="lv-LV"/>
              </w:rPr>
              <w:t xml:space="preserve"> bez reģistrācijas apliecības, izlaiduma gads 199</w:t>
            </w:r>
            <w:r>
              <w:rPr>
                <w:rFonts w:eastAsia="Times New Roman" w:cs="Times New Roman"/>
                <w:bCs/>
                <w:szCs w:val="24"/>
                <w:lang w:eastAsia="lv-LV"/>
              </w:rPr>
              <w:t>8</w:t>
            </w:r>
            <w:r w:rsidRPr="009E72EE">
              <w:rPr>
                <w:rFonts w:eastAsia="Times New Roman" w:cs="Times New Roman"/>
                <w:bCs/>
                <w:szCs w:val="24"/>
                <w:lang w:eastAsia="lv-LV"/>
              </w:rPr>
              <w:t>., pašmasa 1</w:t>
            </w:r>
            <w:r>
              <w:rPr>
                <w:rFonts w:eastAsia="Times New Roman" w:cs="Times New Roman"/>
                <w:bCs/>
                <w:szCs w:val="24"/>
                <w:lang w:eastAsia="lv-LV"/>
              </w:rPr>
              <w:t>750</w:t>
            </w:r>
            <w:r w:rsidRPr="009E72EE">
              <w:rPr>
                <w:rFonts w:eastAsia="Times New Roman" w:cs="Times New Roman"/>
                <w:bCs/>
                <w:szCs w:val="24"/>
                <w:lang w:eastAsia="lv-LV"/>
              </w:rPr>
              <w:t xml:space="preserve"> kg.</w:t>
            </w:r>
          </w:p>
        </w:tc>
        <w:tc>
          <w:tcPr>
            <w:tcW w:w="1144" w:type="dxa"/>
            <w:tcBorders>
              <w:top w:val="single" w:sz="4" w:space="0" w:color="auto"/>
              <w:left w:val="single" w:sz="4" w:space="0" w:color="auto"/>
              <w:bottom w:val="single" w:sz="4" w:space="0" w:color="auto"/>
              <w:right w:val="single" w:sz="4" w:space="0" w:color="auto"/>
            </w:tcBorders>
            <w:vAlign w:val="center"/>
          </w:tcPr>
          <w:p w14:paraId="14C1B5CD" w14:textId="6F62F4CE" w:rsidR="00EE7B5C" w:rsidRPr="00664D8C" w:rsidRDefault="00EE7B5C" w:rsidP="00EE7B5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666845F9" w14:textId="77777777" w:rsidR="00EE7B5C" w:rsidRPr="00664D8C" w:rsidRDefault="00EE7B5C" w:rsidP="00EE7B5C">
            <w:pPr>
              <w:ind w:right="138"/>
              <w:jc w:val="center"/>
              <w:rPr>
                <w:rFonts w:eastAsia="Times New Roman" w:cs="Times New Roman"/>
                <w:bCs/>
                <w:szCs w:val="24"/>
                <w:lang w:eastAsia="lv-LV"/>
              </w:rPr>
            </w:pPr>
          </w:p>
        </w:tc>
      </w:tr>
      <w:tr w:rsidR="00027902" w:rsidRPr="00664D8C" w14:paraId="0C64DF8A" w14:textId="77777777" w:rsidTr="00BD7845">
        <w:trPr>
          <w:trHeight w:val="38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5E2C2" w14:textId="77777777" w:rsidR="00027902" w:rsidRPr="00664D8C" w:rsidRDefault="00027902" w:rsidP="00B6137D">
            <w:pPr>
              <w:ind w:left="851" w:right="101"/>
              <w:contextualSpacing/>
              <w:jc w:val="both"/>
              <w:rPr>
                <w:rFonts w:eastAsia="Times New Roman" w:cs="Times New Roman"/>
                <w:bCs/>
                <w:szCs w:val="24"/>
                <w:lang w:eastAsia="lv-LV"/>
              </w:rPr>
            </w:pPr>
          </w:p>
        </w:tc>
        <w:tc>
          <w:tcPr>
            <w:tcW w:w="63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61F2A" w14:textId="210C2585" w:rsidR="00027902" w:rsidRPr="00664D8C" w:rsidRDefault="00027902" w:rsidP="00B6137D">
            <w:pPr>
              <w:ind w:right="138"/>
              <w:contextualSpacing/>
              <w:jc w:val="right"/>
              <w:rPr>
                <w:rFonts w:eastAsia="Times New Roman" w:cs="Times New Roman"/>
                <w:szCs w:val="24"/>
              </w:rPr>
            </w:pPr>
            <w:r w:rsidRPr="00D44E8B">
              <w:rPr>
                <w:rFonts w:eastAsia="Times New Roman" w:cs="Times New Roman"/>
                <w:b/>
                <w:bCs/>
                <w:szCs w:val="24"/>
                <w:lang w:eastAsia="lv-LV"/>
              </w:rPr>
              <w:t>Kopā</w:t>
            </w:r>
            <w:r w:rsidRPr="00D44E8B">
              <w:rPr>
                <w:rFonts w:cs="Times New Roman"/>
                <w:b/>
                <w:szCs w:val="24"/>
              </w:rPr>
              <w:t xml:space="preserve"> </w:t>
            </w:r>
            <w:r w:rsidRPr="00D44E8B">
              <w:rPr>
                <w:rFonts w:eastAsia="Times New Roman" w:cs="Times New Roman"/>
                <w:b/>
                <w:bCs/>
                <w:szCs w:val="24"/>
                <w:lang w:eastAsia="lv-LV"/>
              </w:rPr>
              <w:t>EUR (bez PVN):</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676B6" w14:textId="77777777" w:rsidR="00027902" w:rsidRPr="00664D8C" w:rsidRDefault="00027902" w:rsidP="00027902">
            <w:pPr>
              <w:ind w:right="138"/>
              <w:jc w:val="center"/>
              <w:rPr>
                <w:rFonts w:eastAsia="Times New Roman" w:cs="Times New Roman"/>
                <w:bCs/>
                <w:szCs w:val="24"/>
                <w:lang w:eastAsia="lv-LV"/>
              </w:rPr>
            </w:pPr>
          </w:p>
        </w:tc>
      </w:tr>
    </w:tbl>
    <w:p w14:paraId="72EC895E" w14:textId="77777777" w:rsidR="00EE7B5C" w:rsidRDefault="00EE7B5C" w:rsidP="00EE7B5C">
      <w:pPr>
        <w:rPr>
          <w:lang w:eastAsia="lv-LV"/>
        </w:rPr>
      </w:pPr>
    </w:p>
    <w:p w14:paraId="775EC685" w14:textId="77777777" w:rsidR="00EE7B5C" w:rsidRDefault="00EE7B5C" w:rsidP="00EE7B5C">
      <w:pPr>
        <w:rPr>
          <w:lang w:eastAsia="lv-LV"/>
        </w:rPr>
      </w:pPr>
    </w:p>
    <w:p w14:paraId="09F2C166" w14:textId="47B9F2BF" w:rsidR="00EE7B5C" w:rsidRDefault="00EE7B5C" w:rsidP="00EE7B5C">
      <w:pPr>
        <w:shd w:val="clear" w:color="auto" w:fill="FFFFFF" w:themeFill="background1"/>
        <w:ind w:left="427"/>
        <w:rPr>
          <w:rFonts w:eastAsia="Times New Roman" w:cs="Times New Roman"/>
          <w:b/>
          <w:bCs/>
          <w:szCs w:val="24"/>
          <w:lang w:eastAsia="lv-LV"/>
        </w:rPr>
      </w:pPr>
      <w:r>
        <w:rPr>
          <w:lang w:eastAsia="lv-LV"/>
        </w:rPr>
        <w:t>2.2.</w:t>
      </w:r>
      <w:r w:rsidRPr="00344518">
        <w:rPr>
          <w:rFonts w:eastAsia="Times New Roman" w:cs="Times New Roman"/>
          <w:b/>
          <w:szCs w:val="24"/>
          <w:lang w:eastAsia="lv-LV"/>
        </w:rPr>
        <w:t xml:space="preserve"> </w:t>
      </w:r>
      <w:r w:rsidRPr="00664D8C">
        <w:rPr>
          <w:rFonts w:eastAsia="Times New Roman" w:cs="Times New Roman"/>
          <w:b/>
          <w:szCs w:val="24"/>
          <w:lang w:eastAsia="lv-LV"/>
        </w:rPr>
        <w:t>Par automašīn</w:t>
      </w:r>
      <w:r>
        <w:rPr>
          <w:rFonts w:eastAsia="Times New Roman" w:cs="Times New Roman"/>
          <w:b/>
          <w:szCs w:val="24"/>
          <w:lang w:eastAsia="lv-LV"/>
        </w:rPr>
        <w:t>u</w:t>
      </w:r>
      <w:r w:rsidRPr="00664D8C">
        <w:rPr>
          <w:rFonts w:eastAsia="Times New Roman" w:cs="Times New Roman"/>
          <w:b/>
          <w:szCs w:val="24"/>
          <w:lang w:eastAsia="lv-LV"/>
        </w:rPr>
        <w:t>, kur</w:t>
      </w:r>
      <w:r>
        <w:rPr>
          <w:rFonts w:eastAsia="Times New Roman" w:cs="Times New Roman"/>
          <w:b/>
          <w:szCs w:val="24"/>
          <w:lang w:eastAsia="lv-LV"/>
        </w:rPr>
        <w:t>as</w:t>
      </w:r>
      <w:r w:rsidRPr="00664D8C">
        <w:rPr>
          <w:rFonts w:eastAsia="Times New Roman" w:cs="Times New Roman"/>
          <w:b/>
          <w:szCs w:val="24"/>
          <w:lang w:eastAsia="lv-LV"/>
        </w:rPr>
        <w:t xml:space="preserve"> atrašanās vieta ir </w:t>
      </w:r>
      <w:r w:rsidRPr="00783014">
        <w:rPr>
          <w:rFonts w:eastAsia="Times New Roman" w:cs="Times New Roman"/>
          <w:b/>
          <w:bCs/>
          <w:szCs w:val="24"/>
          <w:lang w:eastAsia="lv-LV"/>
        </w:rPr>
        <w:t>Bāriņu ielā 3, Liepājā</w:t>
      </w:r>
    </w:p>
    <w:p w14:paraId="40F21AE1" w14:textId="77777777" w:rsidR="00EE7B5C" w:rsidRDefault="00EE7B5C" w:rsidP="00EE7B5C">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EE7B5C" w:rsidRPr="00D44E8B" w14:paraId="03538950" w14:textId="77777777" w:rsidTr="00EE7B5C">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E05C1" w14:textId="77777777" w:rsidR="00EE7B5C" w:rsidRPr="00D44E8B" w:rsidRDefault="00EE7B5C" w:rsidP="00EE7B5C">
            <w:pPr>
              <w:jc w:val="center"/>
              <w:rPr>
                <w:rFonts w:eastAsia="Times New Roman" w:cs="Times New Roman"/>
                <w:b/>
                <w:szCs w:val="24"/>
              </w:rPr>
            </w:pPr>
            <w:r w:rsidRPr="00D44E8B">
              <w:rPr>
                <w:rFonts w:eastAsia="Times New Roman" w:cs="Times New Roman"/>
                <w:b/>
                <w:szCs w:val="24"/>
              </w:rPr>
              <w:t>Nr.</w:t>
            </w:r>
          </w:p>
          <w:p w14:paraId="062F72B1" w14:textId="77777777" w:rsidR="00EE7B5C" w:rsidRPr="00D44E8B" w:rsidRDefault="00EE7B5C" w:rsidP="00EE7B5C">
            <w:pPr>
              <w:jc w:val="center"/>
              <w:rPr>
                <w:rFonts w:eastAsia="Times New Roman" w:cs="Times New Roman"/>
                <w:b/>
                <w:szCs w:val="24"/>
              </w:rPr>
            </w:pPr>
            <w:r w:rsidRPr="00D44E8B">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F9EE7" w14:textId="77777777" w:rsidR="00EE7B5C" w:rsidRPr="00D44E8B" w:rsidRDefault="00EE7B5C" w:rsidP="00EE7B5C">
            <w:pPr>
              <w:jc w:val="center"/>
              <w:rPr>
                <w:rFonts w:eastAsia="Times New Roman" w:cs="Times New Roman"/>
                <w:b/>
                <w:szCs w:val="24"/>
              </w:rPr>
            </w:pPr>
            <w:r w:rsidRPr="00D44E8B">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0035F" w14:textId="77777777" w:rsidR="00EE7B5C" w:rsidRPr="00D44E8B" w:rsidRDefault="00EE7B5C" w:rsidP="00EE7B5C">
            <w:pPr>
              <w:jc w:val="center"/>
              <w:rPr>
                <w:rFonts w:eastAsia="Times New Roman" w:cs="Times New Roman"/>
                <w:b/>
                <w:szCs w:val="24"/>
              </w:rPr>
            </w:pPr>
            <w:r w:rsidRPr="00D44E8B">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E2C3A" w14:textId="77777777" w:rsidR="00EE7B5C" w:rsidRPr="00D44E8B" w:rsidRDefault="00EE7B5C" w:rsidP="00EE7B5C">
            <w:pPr>
              <w:jc w:val="center"/>
              <w:rPr>
                <w:rFonts w:eastAsia="Times New Roman" w:cs="Times New Roman"/>
                <w:b/>
                <w:szCs w:val="24"/>
              </w:rPr>
            </w:pPr>
            <w:r w:rsidRPr="00D44E8B">
              <w:rPr>
                <w:rFonts w:eastAsia="Times New Roman" w:cs="Times New Roman"/>
                <w:b/>
                <w:szCs w:val="24"/>
              </w:rPr>
              <w:t>Cena par norādīto vienību EUR (bez PVN)</w:t>
            </w:r>
          </w:p>
        </w:tc>
      </w:tr>
      <w:tr w:rsidR="00EE7B5C" w:rsidRPr="00D44E8B" w14:paraId="6F5A5026" w14:textId="77777777" w:rsidTr="00EE7B5C">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36C7662E" w14:textId="77777777" w:rsidR="00EE7B5C" w:rsidRPr="00D44E8B" w:rsidRDefault="00EE7B5C" w:rsidP="00EE7B5C">
            <w:pPr>
              <w:numPr>
                <w:ilvl w:val="0"/>
                <w:numId w:val="5"/>
              </w:numPr>
              <w:ind w:right="101"/>
              <w:contextualSpacing/>
              <w:jc w:val="both"/>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1AA7BB52" w14:textId="3C819F28" w:rsidR="00EE7B5C" w:rsidRPr="00D44E8B" w:rsidRDefault="00EE7B5C" w:rsidP="00EE7B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Pr="00845B2C">
              <w:rPr>
                <w:rFonts w:ascii="Times New Roman" w:eastAsia="Times New Roman" w:hAnsi="Times New Roman" w:cs="Times New Roman"/>
                <w:bCs/>
                <w:iCs/>
                <w:sz w:val="24"/>
                <w:szCs w:val="24"/>
                <w:lang w:eastAsia="lv-LV"/>
              </w:rPr>
              <w:t xml:space="preserve">Audi </w:t>
            </w:r>
            <w:r>
              <w:rPr>
                <w:rFonts w:ascii="Times New Roman" w:eastAsia="Times New Roman" w:hAnsi="Times New Roman" w:cs="Times New Roman"/>
                <w:bCs/>
                <w:iCs/>
                <w:sz w:val="24"/>
                <w:szCs w:val="24"/>
                <w:lang w:eastAsia="lv-LV"/>
              </w:rPr>
              <w:t>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GH6348</w:t>
            </w:r>
            <w:r w:rsidRPr="009E72EE">
              <w:rPr>
                <w:rFonts w:ascii="Times New Roman" w:eastAsia="Times New Roman" w:hAnsi="Times New Roman" w:cs="Times New Roman"/>
                <w:bCs/>
                <w:sz w:val="24"/>
                <w:szCs w:val="24"/>
                <w:lang w:eastAsia="lv-LV"/>
              </w:rPr>
              <w:t xml:space="preserve">, VIN </w:t>
            </w:r>
            <w:r w:rsidRPr="0054383B">
              <w:rPr>
                <w:rFonts w:ascii="Times New Roman" w:eastAsia="Times New Roman" w:hAnsi="Times New Roman" w:cs="Times New Roman"/>
                <w:bCs/>
                <w:sz w:val="24"/>
                <w:szCs w:val="24"/>
                <w:lang w:eastAsia="lv-LV"/>
              </w:rPr>
              <w:t>WAUZZZ8CZSA010544</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izlaiduma gads 199</w:t>
            </w:r>
            <w:r>
              <w:rPr>
                <w:rFonts w:ascii="Times New Roman" w:eastAsia="Times New Roman" w:hAnsi="Times New Roman" w:cs="Times New Roman"/>
                <w:bCs/>
                <w:sz w:val="24"/>
                <w:szCs w:val="24"/>
                <w:lang w:eastAsia="lv-LV"/>
              </w:rPr>
              <w:t>4</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2</w:t>
            </w:r>
            <w:r w:rsidRPr="009E72EE">
              <w:rPr>
                <w:rFonts w:ascii="Times New Roman" w:eastAsia="Times New Roman" w:hAnsi="Times New Roman" w:cs="Times New Roman"/>
                <w:bCs/>
                <w:sz w:val="24"/>
                <w:szCs w:val="24"/>
                <w:lang w:eastAsia="lv-LV"/>
              </w:rPr>
              <w:t>30 kg.</w:t>
            </w:r>
          </w:p>
        </w:tc>
        <w:tc>
          <w:tcPr>
            <w:tcW w:w="1134" w:type="dxa"/>
            <w:tcBorders>
              <w:top w:val="single" w:sz="4" w:space="0" w:color="auto"/>
              <w:left w:val="single" w:sz="4" w:space="0" w:color="auto"/>
              <w:bottom w:val="single" w:sz="4" w:space="0" w:color="auto"/>
              <w:right w:val="single" w:sz="4" w:space="0" w:color="auto"/>
            </w:tcBorders>
          </w:tcPr>
          <w:p w14:paraId="2FCA03A5" w14:textId="77777777" w:rsidR="00EE7B5C" w:rsidRPr="00D44E8B" w:rsidRDefault="00EE7B5C" w:rsidP="00EE7B5C">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3FA9606" w14:textId="77777777" w:rsidR="00EE7B5C" w:rsidRPr="00D44E8B" w:rsidRDefault="00EE7B5C" w:rsidP="00EE7B5C">
            <w:pPr>
              <w:jc w:val="center"/>
              <w:rPr>
                <w:rFonts w:eastAsia="Times New Roman" w:cs="Times New Roman"/>
                <w:bCs/>
                <w:szCs w:val="24"/>
                <w:lang w:eastAsia="lv-LV"/>
              </w:rPr>
            </w:pPr>
          </w:p>
        </w:tc>
      </w:tr>
    </w:tbl>
    <w:p w14:paraId="488B5D7D" w14:textId="77777777" w:rsidR="00EE7B5C" w:rsidRDefault="00EE7B5C" w:rsidP="00EE7B5C">
      <w:pPr>
        <w:rPr>
          <w:lang w:eastAsia="lv-LV"/>
        </w:rPr>
      </w:pPr>
    </w:p>
    <w:p w14:paraId="42BD4BC3" w14:textId="77777777" w:rsidR="00D75926" w:rsidRPr="005969AD" w:rsidRDefault="00D75926" w:rsidP="00D75926">
      <w:pPr>
        <w:rPr>
          <w:rFonts w:eastAsia="Times New Roman" w:cs="Times New Roman"/>
          <w:i/>
          <w:szCs w:val="24"/>
          <w:lang w:eastAsia="lv-LV"/>
        </w:rPr>
      </w:pPr>
    </w:p>
    <w:p w14:paraId="14F40E8D" w14:textId="0BAD105E" w:rsidR="00D75926" w:rsidRDefault="00D75926" w:rsidP="00D75926">
      <w:pPr>
        <w:ind w:left="360"/>
        <w:jc w:val="right"/>
        <w:rPr>
          <w:rFonts w:eastAsia="Times New Roman" w:cs="Times New Roman"/>
          <w:szCs w:val="24"/>
          <w:lang w:eastAsia="lv-LV"/>
        </w:rPr>
      </w:pPr>
    </w:p>
    <w:p w14:paraId="0959A05F" w14:textId="0F635B8F" w:rsidR="002F146B" w:rsidRDefault="002F146B" w:rsidP="00D75926">
      <w:pPr>
        <w:ind w:left="360"/>
        <w:jc w:val="right"/>
        <w:rPr>
          <w:rFonts w:eastAsia="Times New Roman" w:cs="Times New Roman"/>
          <w:szCs w:val="24"/>
          <w:lang w:eastAsia="lv-LV"/>
        </w:rPr>
      </w:pPr>
    </w:p>
    <w:p w14:paraId="71BC3811" w14:textId="77777777" w:rsidR="00B6137D" w:rsidRDefault="00B6137D"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lastRenderedPageBreak/>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5E5D278E"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BD7845">
        <w:rPr>
          <w:rFonts w:eastAsia="Times New Roman" w:cs="Times New Roman"/>
          <w:b/>
          <w:bCs/>
          <w:sz w:val="26"/>
          <w:szCs w:val="26"/>
          <w:lang w:eastAsia="lv-LV"/>
        </w:rPr>
        <w:t>12. aprīlim</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2E9523D8" w:rsidR="00D75926" w:rsidRPr="00B6137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B6137D">
        <w:rPr>
          <w:rFonts w:eastAsia="Times New Roman" w:cs="Times New Roman"/>
          <w:sz w:val="26"/>
          <w:szCs w:val="26"/>
          <w:lang w:eastAsia="lv-LV"/>
        </w:rPr>
        <w:t xml:space="preserve">piedāvājumā </w:t>
      </w:r>
      <w:r w:rsidRPr="00B6137D">
        <w:rPr>
          <w:rFonts w:eastAsia="Times New Roman" w:cs="Times New Roman"/>
          <w:i/>
          <w:sz w:val="26"/>
          <w:szCs w:val="26"/>
          <w:lang w:eastAsia="lv-LV"/>
        </w:rPr>
        <w:t>norādītā cena</w:t>
      </w:r>
      <w:r w:rsidRPr="00B6137D">
        <w:rPr>
          <w:rFonts w:eastAsia="Times New Roman" w:cs="Times New Roman"/>
          <w:sz w:val="26"/>
          <w:szCs w:val="26"/>
          <w:lang w:eastAsia="lv-LV"/>
        </w:rPr>
        <w:t xml:space="preserve"> EUR (bez PVN) tiks izmantota piedāvājuma ar visaugstāko </w:t>
      </w:r>
      <w:r w:rsidRPr="00B6137D">
        <w:rPr>
          <w:rFonts w:eastAsia="Times New Roman" w:cs="Times New Roman"/>
          <w:i/>
          <w:sz w:val="26"/>
          <w:szCs w:val="26"/>
          <w:lang w:eastAsia="lv-LV"/>
        </w:rPr>
        <w:t>cenu noteikšanai</w:t>
      </w:r>
      <w:r w:rsidR="0070124C" w:rsidRPr="00B6137D">
        <w:rPr>
          <w:rFonts w:eastAsia="Times New Roman" w:cs="Times New Roman"/>
          <w:i/>
          <w:iCs/>
          <w:sz w:val="26"/>
          <w:szCs w:val="26"/>
          <w:lang w:eastAsia="lv-LV"/>
        </w:rPr>
        <w:t xml:space="preserve"> par katrā no adresēm norādīto Mantu</w:t>
      </w:r>
      <w:r w:rsidRPr="00B6137D">
        <w:rPr>
          <w:rFonts w:eastAsia="Times New Roman" w:cs="Times New Roman"/>
          <w:i/>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B6137D">
        <w:rPr>
          <w:rFonts w:eastAsia="Times New Roman" w:cs="Times New Roman"/>
          <w:b/>
          <w:bCs/>
          <w:sz w:val="26"/>
          <w:szCs w:val="26"/>
          <w:lang w:eastAsia="lv-LV"/>
        </w:rPr>
        <w:t xml:space="preserve">Komersanta </w:t>
      </w:r>
      <w:r w:rsidR="00D75926" w:rsidRPr="00B6137D">
        <w:rPr>
          <w:rFonts w:eastAsia="Times New Roman" w:cs="Times New Roman"/>
          <w:b/>
          <w:bCs/>
          <w:sz w:val="26"/>
          <w:szCs w:val="26"/>
          <w:lang w:eastAsia="lv-LV"/>
        </w:rPr>
        <w:t>Finanšu</w:t>
      </w:r>
      <w:r w:rsidR="00D75926" w:rsidRPr="00E36247">
        <w:rPr>
          <w:rFonts w:eastAsia="Times New Roman" w:cs="Times New Roman"/>
          <w:b/>
          <w:bCs/>
          <w:sz w:val="26"/>
          <w:szCs w:val="26"/>
          <w:lang w:eastAsia="lv-LV"/>
        </w:rPr>
        <w:t xml:space="preserve">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2A8CE0EC"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F17C45D"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piedāvās </w:t>
      </w:r>
      <w:r w:rsidR="0070124C" w:rsidRPr="00EF4D00">
        <w:rPr>
          <w:rFonts w:eastAsia="Times New Roman" w:cs="Times New Roman"/>
          <w:i/>
          <w:iCs/>
          <w:sz w:val="26"/>
          <w:szCs w:val="26"/>
          <w:lang w:eastAsia="lv-LV"/>
        </w:rPr>
        <w:t>visaugstāko cenu par katrā no adresēm norādīto Mantu</w:t>
      </w:r>
      <w:r w:rsidRPr="00EA3D30">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1DD4CDAC"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w:t>
      </w:r>
      <w:r w:rsidRPr="00276E4A">
        <w:rPr>
          <w:rFonts w:eastAsia="Times New Roman" w:cs="Times New Roman"/>
          <w:sz w:val="26"/>
          <w:szCs w:val="26"/>
          <w:lang w:eastAsia="lv-LV"/>
        </w:rPr>
        <w:lastRenderedPageBreak/>
        <w:t>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1C9459A0" w14:textId="77777777" w:rsidR="00C9572D" w:rsidRDefault="00D75926" w:rsidP="00C9572D">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02C5A207" w14:textId="50A94371" w:rsidR="00C9572D" w:rsidRPr="00C9572D" w:rsidRDefault="00C9572D" w:rsidP="00C9572D">
      <w:pPr>
        <w:pStyle w:val="ListParagraph"/>
        <w:numPr>
          <w:ilvl w:val="0"/>
          <w:numId w:val="3"/>
        </w:numPr>
        <w:tabs>
          <w:tab w:val="left" w:pos="993"/>
        </w:tabs>
        <w:ind w:left="0" w:firstLine="0"/>
        <w:jc w:val="both"/>
        <w:rPr>
          <w:rFonts w:eastAsia="Times New Roman" w:cs="Times New Roman"/>
          <w:sz w:val="26"/>
          <w:szCs w:val="26"/>
          <w:lang w:eastAsia="lv-LV"/>
        </w:rPr>
      </w:pPr>
      <w:r w:rsidRPr="00C9572D">
        <w:rPr>
          <w:rFonts w:eastAsia="Times New Roman" w:cs="Times New Roman"/>
          <w:sz w:val="26"/>
          <w:szCs w:val="26"/>
          <w:lang w:eastAsia="lv-LV"/>
        </w:rPr>
        <w:t xml:space="preserve">Pirms lēmuma pieņemšanas par uzvarētāja noteikšanu cenu aptaujā, Komisija par personu </w:t>
      </w:r>
      <w:r w:rsidRPr="00C9572D">
        <w:rPr>
          <w:rFonts w:eastAsia="Times New Roman" w:cs="Times New Roman"/>
          <w:i/>
          <w:iCs/>
          <w:sz w:val="26"/>
          <w:szCs w:val="26"/>
          <w:lang w:eastAsia="lv-LV"/>
        </w:rPr>
        <w:t>Lursoft</w:t>
      </w:r>
      <w:r w:rsidRPr="00C9572D">
        <w:rPr>
          <w:rFonts w:eastAsia="Times New Roman" w:cs="Times New Roman"/>
          <w:sz w:val="26"/>
          <w:szCs w:val="26"/>
          <w:lang w:eastAsia="lv-LV"/>
        </w:rPr>
        <w:t xml:space="preserve"> vietnē Sankciju saraksti </w:t>
      </w:r>
      <w:hyperlink r:id="rId15" w:history="1">
        <w:r w:rsidRPr="00C9572D">
          <w:rPr>
            <w:rStyle w:val="Hyperlink"/>
            <w:rFonts w:eastAsia="Times New Roman" w:cs="Times New Roman"/>
            <w:sz w:val="26"/>
            <w:szCs w:val="26"/>
            <w:lang w:eastAsia="lv-LV"/>
          </w:rPr>
          <w:t>https://sankcijas.lursoft.lv/</w:t>
        </w:r>
      </w:hyperlink>
      <w:r w:rsidRPr="00C9572D">
        <w:rPr>
          <w:rFonts w:eastAsia="Times New Roman" w:cs="Times New Roman"/>
          <w:sz w:val="26"/>
          <w:szCs w:val="26"/>
          <w:lang w:eastAsia="lv-LV"/>
        </w:rPr>
        <w:t xml:space="preserve">, kur apkopota sankciju sarakstu informācija, </w:t>
      </w:r>
      <w:r w:rsidRPr="00C9572D">
        <w:rPr>
          <w:rFonts w:eastAsia="Times New Roman" w:cs="Times New Roman"/>
          <w:bCs/>
          <w:iCs/>
          <w:sz w:val="26"/>
          <w:szCs w:val="26"/>
          <w:lang w:eastAsia="lv-LV"/>
        </w:rPr>
        <w:t xml:space="preserve">veic </w:t>
      </w:r>
      <w:r w:rsidRPr="00C9572D">
        <w:rPr>
          <w:rFonts w:eastAsia="Times New Roman" w:cs="Times New Roman"/>
          <w:sz w:val="26"/>
          <w:szCs w:val="26"/>
          <w:lang w:eastAsia="lv-LV"/>
        </w:rPr>
        <w:t>pārbaudi, vai uz personu</w:t>
      </w:r>
      <w:r w:rsidRPr="00C9572D">
        <w:rPr>
          <w:rFonts w:eastAsia="Times New Roman" w:cs="Times New Roman"/>
          <w:color w:val="000000" w:themeColor="text1"/>
          <w:sz w:val="26"/>
          <w:szCs w:val="26"/>
          <w:lang w:eastAsia="lv-LV"/>
        </w:rPr>
        <w:t xml:space="preserve"> nav </w:t>
      </w:r>
      <w:r w:rsidRPr="00C9572D">
        <w:rPr>
          <w:rFonts w:eastAsia="Times New Roman" w:cs="Times New Roman"/>
          <w:sz w:val="26"/>
          <w:szCs w:val="26"/>
          <w:lang w:eastAsia="lv-LV"/>
        </w:rPr>
        <w:t xml:space="preserve">noteiktas starptautiskās vai Latvijas Republikas nacionālās sankcijas. Attiecībā uz juridisku personu pārbaude tiks veikta arī par tās valdes un padomes locekļiem, patieso labuma guvēju, </w:t>
      </w:r>
      <w:proofErr w:type="spellStart"/>
      <w:r w:rsidRPr="00C9572D">
        <w:rPr>
          <w:rFonts w:eastAsia="Times New Roman" w:cs="Times New Roman"/>
          <w:sz w:val="26"/>
          <w:szCs w:val="26"/>
          <w:lang w:eastAsia="lv-LV"/>
        </w:rPr>
        <w:t>pārstāvēttiesīgo</w:t>
      </w:r>
      <w:proofErr w:type="spellEnd"/>
      <w:r w:rsidRPr="00C9572D">
        <w:rPr>
          <w:rFonts w:eastAsia="Times New Roman" w:cs="Times New Roman"/>
          <w:sz w:val="26"/>
          <w:szCs w:val="26"/>
          <w:lang w:eastAsia="lv-LV"/>
        </w:rPr>
        <w:t xml:space="preserve"> personu vai prokūristu (</w:t>
      </w:r>
      <w:r w:rsidRPr="00C9572D">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C9572D">
        <w:rPr>
          <w:rFonts w:eastAsia="Times New Roman" w:cs="Times New Roman"/>
          <w:sz w:val="26"/>
          <w:szCs w:val="26"/>
          <w:lang w:eastAsia="lv-LV"/>
        </w:rPr>
        <w:t xml:space="preserve">. </w:t>
      </w:r>
    </w:p>
    <w:p w14:paraId="4F39DC7D" w14:textId="07E30792"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0F870EBF"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4B4D7D78"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4397075"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r w:rsidR="00A542E4">
        <w:rPr>
          <w:rFonts w:cs="Times New Roman"/>
          <w:i/>
          <w:sz w:val="26"/>
          <w:szCs w:val="26"/>
        </w:rPr>
        <w:t>(</w:t>
      </w:r>
      <w:r w:rsidR="00A542E4" w:rsidRPr="00F1412B">
        <w:rPr>
          <w:rFonts w:cs="Times New Roman"/>
          <w:i/>
          <w:sz w:val="26"/>
          <w:szCs w:val="26"/>
        </w:rPr>
        <w:t>Līguma punkts tiks precizēts, atbilstoši iesniegtajam piedāvājumam)</w:t>
      </w:r>
      <w:r w:rsidR="00A542E4">
        <w:rPr>
          <w:rFonts w:cs="Times New Roman"/>
          <w:i/>
          <w:sz w:val="26"/>
          <w:szCs w:val="26"/>
        </w:rPr>
        <w:t>.</w:t>
      </w:r>
    </w:p>
    <w:p w14:paraId="06EAFEAF" w14:textId="209F309A"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1834E0"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5FFCBC63"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A896753"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2FC90647"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449D0C7F"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57F534C2"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2409BBE"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53A38311"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42E8021C"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5BBFB00E"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06A7E804"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2ACE6754"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B6137D">
        <w:rPr>
          <w:rFonts w:cs="Times New Roman"/>
          <w:bCs/>
          <w:sz w:val="26"/>
          <w:szCs w:val="26"/>
        </w:rPr>
        <w:t xml:space="preserve"> Mantas </w:t>
      </w:r>
      <w:r w:rsidR="00E57EEB">
        <w:rPr>
          <w:rFonts w:cs="Times New Roman"/>
          <w:bCs/>
          <w:sz w:val="26"/>
          <w:szCs w:val="26"/>
        </w:rPr>
        <w:t>pārstrādi</w:t>
      </w:r>
      <w:r w:rsidR="00DE61FA" w:rsidRPr="00B6137D">
        <w:rPr>
          <w:rFonts w:cs="Times New Roman"/>
          <w:bCs/>
          <w:sz w:val="26"/>
          <w:szCs w:val="26"/>
        </w:rPr>
        <w:t xml:space="preserve"> metāllūžņos </w:t>
      </w:r>
      <w:r w:rsidR="00045C00">
        <w:rPr>
          <w:rFonts w:cs="Times New Roman"/>
          <w:bCs/>
          <w:sz w:val="26"/>
          <w:szCs w:val="26"/>
        </w:rPr>
        <w:t>nodrošina</w:t>
      </w:r>
      <w:r w:rsidR="00DE61FA" w:rsidRPr="00B6137D">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4B5EC4CD"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0DB0CAA9"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19AD4F5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8C9C6ED"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D3175A4"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D7AEF04"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58670D02"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46AFD51"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1784CA65" w:rsidR="00373C5B" w:rsidRPr="00B6137D" w:rsidRDefault="00373C5B" w:rsidP="00373C5B">
      <w:pPr>
        <w:spacing w:before="120"/>
        <w:jc w:val="center"/>
        <w:rPr>
          <w:sz w:val="16"/>
          <w:szCs w:val="16"/>
        </w:rPr>
      </w:pPr>
      <w:r w:rsidRPr="00B6137D">
        <w:rPr>
          <w:sz w:val="16"/>
          <w:szCs w:val="16"/>
        </w:rPr>
        <w:t>DOKUMENTS IR PARAKSTĪTS ELEKTRONISKI</w:t>
      </w:r>
    </w:p>
    <w:p w14:paraId="08AB0B5A" w14:textId="633C921C" w:rsidR="00373C5B" w:rsidRDefault="00373C5B" w:rsidP="00F364B2">
      <w:pPr>
        <w:jc w:val="center"/>
        <w:rPr>
          <w:sz w:val="26"/>
          <w:szCs w:val="26"/>
        </w:rPr>
      </w:pPr>
      <w:r w:rsidRPr="00B6137D">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4D97ACF0" w:rsidR="00516C3F" w:rsidRPr="00B6137D" w:rsidRDefault="00516C3F" w:rsidP="00373C5B">
      <w:pPr>
        <w:pStyle w:val="BodyText2"/>
        <w:jc w:val="right"/>
        <w:rPr>
          <w:sz w:val="24"/>
          <w:szCs w:val="24"/>
        </w:rPr>
      </w:pPr>
      <w:r w:rsidRPr="00B6137D">
        <w:rPr>
          <w:sz w:val="24"/>
          <w:szCs w:val="24"/>
        </w:rPr>
        <w:t>Valstij piekritīgās mantas</w:t>
      </w:r>
    </w:p>
    <w:p w14:paraId="1FBD0CB2" w14:textId="37570D3C" w:rsidR="00373C5B" w:rsidRPr="00B6137D" w:rsidRDefault="00516C3F" w:rsidP="00373C5B">
      <w:pPr>
        <w:pStyle w:val="BodyText2"/>
        <w:jc w:val="right"/>
        <w:rPr>
          <w:sz w:val="24"/>
          <w:szCs w:val="24"/>
        </w:rPr>
      </w:pPr>
      <w:r w:rsidRPr="00B6137D">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1765725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306F4824"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382F5875"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B615002" w:rsidR="00373C5B" w:rsidRPr="00B6137D" w:rsidRDefault="00373C5B" w:rsidP="00373C5B">
      <w:pPr>
        <w:spacing w:before="120"/>
        <w:jc w:val="center"/>
        <w:rPr>
          <w:sz w:val="16"/>
          <w:szCs w:val="16"/>
        </w:rPr>
      </w:pPr>
      <w:r w:rsidRPr="00B6137D">
        <w:rPr>
          <w:sz w:val="16"/>
          <w:szCs w:val="16"/>
        </w:rPr>
        <w:t>DOKUMENTS IR PARAKSTĪTS ELEKTRONISKI</w:t>
      </w:r>
    </w:p>
    <w:p w14:paraId="7D5A4949" w14:textId="77777777" w:rsidR="00373C5B" w:rsidRPr="00B6137D" w:rsidRDefault="00373C5B" w:rsidP="00373C5B">
      <w:pPr>
        <w:jc w:val="center"/>
        <w:rPr>
          <w:rFonts w:cs="Times New Roman"/>
          <w:sz w:val="16"/>
          <w:szCs w:val="16"/>
        </w:rPr>
      </w:pPr>
      <w:r w:rsidRPr="00B6137D">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1F6B" w14:textId="77777777" w:rsidR="00EE7B5C" w:rsidRDefault="00EE7B5C" w:rsidP="00D75926">
      <w:r>
        <w:separator/>
      </w:r>
    </w:p>
  </w:endnote>
  <w:endnote w:type="continuationSeparator" w:id="0">
    <w:p w14:paraId="4DEFD48A" w14:textId="77777777" w:rsidR="00EE7B5C" w:rsidRDefault="00EE7B5C" w:rsidP="00D75926">
      <w:r>
        <w:continuationSeparator/>
      </w:r>
    </w:p>
  </w:endnote>
  <w:endnote w:type="continuationNotice" w:id="1">
    <w:p w14:paraId="60A579D0" w14:textId="77777777" w:rsidR="00EE7B5C" w:rsidRDefault="00EE7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C409" w14:textId="77777777" w:rsidR="00EE7B5C" w:rsidRDefault="00EE7B5C" w:rsidP="00D75926">
      <w:r>
        <w:separator/>
      </w:r>
    </w:p>
  </w:footnote>
  <w:footnote w:type="continuationSeparator" w:id="0">
    <w:p w14:paraId="5CC4FEEF" w14:textId="77777777" w:rsidR="00EE7B5C" w:rsidRDefault="00EE7B5C" w:rsidP="00D75926">
      <w:r>
        <w:continuationSeparator/>
      </w:r>
    </w:p>
  </w:footnote>
  <w:footnote w:type="continuationNotice" w:id="1">
    <w:p w14:paraId="01B6A817" w14:textId="77777777" w:rsidR="00EE7B5C" w:rsidRDefault="00EE7B5C"/>
  </w:footnote>
  <w:footnote w:id="2">
    <w:p w14:paraId="23625565" w14:textId="4F14C1F1" w:rsidR="00EE7B5C" w:rsidRPr="00052652" w:rsidRDefault="00EE7B5C"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komersants</w:t>
      </w:r>
      <w:r w:rsidRPr="004B501C">
        <w:rPr>
          <w:rFonts w:cs="Times New Roman"/>
          <w:i/>
        </w:rPr>
        <w:t xml:space="preserve">, ierakstot vārdu </w:t>
      </w:r>
      <w:r w:rsidR="00B6137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B6137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EE7B5C" w:rsidRPr="00BD59C4" w:rsidRDefault="00EE7B5C" w:rsidP="0000298F">
      <w:pPr>
        <w:pStyle w:val="FootnoteText"/>
        <w:jc w:val="both"/>
        <w:rPr>
          <w:i/>
          <w:iCs/>
        </w:rPr>
      </w:pPr>
      <w:r w:rsidRPr="00BD59C4">
        <w:rPr>
          <w:rStyle w:val="FootnoteReference"/>
          <w:i/>
          <w:iCs/>
        </w:rPr>
        <w:footnoteRef/>
      </w:r>
      <w:r w:rsidRPr="00BD59C4">
        <w:rPr>
          <w:i/>
          <w:iCs/>
        </w:rPr>
        <w:t xml:space="preserve"> </w:t>
      </w:r>
      <w:r>
        <w:rPr>
          <w:i/>
          <w:iCs/>
          <w:color w:val="000000"/>
        </w:rPr>
        <w:t>Komersants,</w:t>
      </w:r>
      <w:r w:rsidRPr="00BD59C4">
        <w:rPr>
          <w:i/>
          <w:iCs/>
          <w:color w:val="000000"/>
        </w:rPr>
        <w:t xml:space="preserve"> ierakstot vārdu “PIEKRĪTAM”</w:t>
      </w:r>
      <w:r>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EE7B5C" w:rsidRDefault="00EE7B5C">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EE7B5C" w:rsidRDefault="00EE7B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EE7B5C" w:rsidRDefault="00EE7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1070"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4"/>
  </w:num>
  <w:num w:numId="8">
    <w:abstractNumId w:val="1"/>
  </w:num>
  <w:num w:numId="9">
    <w:abstractNumId w:val="15"/>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7902"/>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8378D"/>
    <w:rsid w:val="00297CF0"/>
    <w:rsid w:val="002B21C8"/>
    <w:rsid w:val="002C2499"/>
    <w:rsid w:val="002C2F64"/>
    <w:rsid w:val="002C644E"/>
    <w:rsid w:val="002C7269"/>
    <w:rsid w:val="002D34A9"/>
    <w:rsid w:val="002E658D"/>
    <w:rsid w:val="002F146B"/>
    <w:rsid w:val="002F62D1"/>
    <w:rsid w:val="0034798B"/>
    <w:rsid w:val="00353702"/>
    <w:rsid w:val="003634AC"/>
    <w:rsid w:val="00372EC8"/>
    <w:rsid w:val="00373870"/>
    <w:rsid w:val="00373C5B"/>
    <w:rsid w:val="00375D94"/>
    <w:rsid w:val="003911C5"/>
    <w:rsid w:val="00393A07"/>
    <w:rsid w:val="003C47C3"/>
    <w:rsid w:val="003E0E7D"/>
    <w:rsid w:val="003F1B32"/>
    <w:rsid w:val="00421074"/>
    <w:rsid w:val="00421F21"/>
    <w:rsid w:val="0043321E"/>
    <w:rsid w:val="00434663"/>
    <w:rsid w:val="00436DC4"/>
    <w:rsid w:val="004670A0"/>
    <w:rsid w:val="004760D0"/>
    <w:rsid w:val="00491359"/>
    <w:rsid w:val="004D1D17"/>
    <w:rsid w:val="004D46BA"/>
    <w:rsid w:val="004E0F92"/>
    <w:rsid w:val="005054F6"/>
    <w:rsid w:val="00516C3F"/>
    <w:rsid w:val="00517CEE"/>
    <w:rsid w:val="0054383B"/>
    <w:rsid w:val="00553BAE"/>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0124C"/>
    <w:rsid w:val="00734537"/>
    <w:rsid w:val="00744FAA"/>
    <w:rsid w:val="007672C3"/>
    <w:rsid w:val="00773D86"/>
    <w:rsid w:val="00774B81"/>
    <w:rsid w:val="007D46A8"/>
    <w:rsid w:val="007D4763"/>
    <w:rsid w:val="007F5587"/>
    <w:rsid w:val="007F61E1"/>
    <w:rsid w:val="008052BC"/>
    <w:rsid w:val="00810E0E"/>
    <w:rsid w:val="0082384F"/>
    <w:rsid w:val="00846F03"/>
    <w:rsid w:val="00853AD9"/>
    <w:rsid w:val="008547EC"/>
    <w:rsid w:val="008551D1"/>
    <w:rsid w:val="00876B58"/>
    <w:rsid w:val="008B21EE"/>
    <w:rsid w:val="008D6A1C"/>
    <w:rsid w:val="008E19F3"/>
    <w:rsid w:val="00907128"/>
    <w:rsid w:val="00931970"/>
    <w:rsid w:val="009462D8"/>
    <w:rsid w:val="00970672"/>
    <w:rsid w:val="009844DE"/>
    <w:rsid w:val="009B796F"/>
    <w:rsid w:val="009E7C57"/>
    <w:rsid w:val="009F6EBE"/>
    <w:rsid w:val="00A03F27"/>
    <w:rsid w:val="00A31480"/>
    <w:rsid w:val="00A479A2"/>
    <w:rsid w:val="00A542E4"/>
    <w:rsid w:val="00A61EDE"/>
    <w:rsid w:val="00A646BA"/>
    <w:rsid w:val="00AB1F94"/>
    <w:rsid w:val="00AE36DE"/>
    <w:rsid w:val="00AF1596"/>
    <w:rsid w:val="00AF2646"/>
    <w:rsid w:val="00B03BFE"/>
    <w:rsid w:val="00B07194"/>
    <w:rsid w:val="00B150C0"/>
    <w:rsid w:val="00B17FF7"/>
    <w:rsid w:val="00B6063A"/>
    <w:rsid w:val="00B6137D"/>
    <w:rsid w:val="00B62406"/>
    <w:rsid w:val="00B732EE"/>
    <w:rsid w:val="00B8067F"/>
    <w:rsid w:val="00BA0E2D"/>
    <w:rsid w:val="00BA4EC9"/>
    <w:rsid w:val="00BA7FD1"/>
    <w:rsid w:val="00BD1B5F"/>
    <w:rsid w:val="00BD2935"/>
    <w:rsid w:val="00BD7845"/>
    <w:rsid w:val="00C00BCA"/>
    <w:rsid w:val="00C047F5"/>
    <w:rsid w:val="00C22FAA"/>
    <w:rsid w:val="00C2408D"/>
    <w:rsid w:val="00C413E7"/>
    <w:rsid w:val="00C43D23"/>
    <w:rsid w:val="00C875EF"/>
    <w:rsid w:val="00C9572D"/>
    <w:rsid w:val="00CA43A8"/>
    <w:rsid w:val="00CA4B59"/>
    <w:rsid w:val="00CC5147"/>
    <w:rsid w:val="00CC6CD5"/>
    <w:rsid w:val="00CC6E9B"/>
    <w:rsid w:val="00CE631C"/>
    <w:rsid w:val="00CF1B94"/>
    <w:rsid w:val="00CF5D9C"/>
    <w:rsid w:val="00D05BF4"/>
    <w:rsid w:val="00D17982"/>
    <w:rsid w:val="00D2718D"/>
    <w:rsid w:val="00D30F57"/>
    <w:rsid w:val="00D53630"/>
    <w:rsid w:val="00D75926"/>
    <w:rsid w:val="00D804D4"/>
    <w:rsid w:val="00D8139D"/>
    <w:rsid w:val="00D9070F"/>
    <w:rsid w:val="00DB18B9"/>
    <w:rsid w:val="00DB4F9E"/>
    <w:rsid w:val="00DC7093"/>
    <w:rsid w:val="00DD07E2"/>
    <w:rsid w:val="00DD2897"/>
    <w:rsid w:val="00DE3C2D"/>
    <w:rsid w:val="00DE61FA"/>
    <w:rsid w:val="00E07F04"/>
    <w:rsid w:val="00E403AC"/>
    <w:rsid w:val="00E567A6"/>
    <w:rsid w:val="00E57EEB"/>
    <w:rsid w:val="00E94757"/>
    <w:rsid w:val="00EA0CF7"/>
    <w:rsid w:val="00EA7BC6"/>
    <w:rsid w:val="00EB415A"/>
    <w:rsid w:val="00EE7B5C"/>
    <w:rsid w:val="00EF22A4"/>
    <w:rsid w:val="00F2308C"/>
    <w:rsid w:val="00F364B2"/>
    <w:rsid w:val="00F372DF"/>
    <w:rsid w:val="00F65E71"/>
    <w:rsid w:val="00FA17F1"/>
    <w:rsid w:val="00FA46A8"/>
    <w:rsid w:val="00FB0FFB"/>
    <w:rsid w:val="00FB68E9"/>
    <w:rsid w:val="00FC30C0"/>
    <w:rsid w:val="00FD4499"/>
    <w:rsid w:val="00FD6183"/>
    <w:rsid w:val="00FD771E"/>
    <w:rsid w:val="00FE7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EE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6458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C4A672AF-7CB3-4A5D-85C9-B80DC448A240}">
  <ds:schemaRefs>
    <ds:schemaRef ds:uri="http://schemas.microsoft.com/office/2006/documentManagement/types"/>
    <ds:schemaRef ds:uri="65fa2f37-ae70-448e-aefe-8146d5f9ac31"/>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8E1DF-441D-46E3-AD5F-A8B71CFE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17826</Words>
  <Characters>10161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8</cp:revision>
  <dcterms:created xsi:type="dcterms:W3CDTF">2022-04-05T05:45:00Z</dcterms:created>
  <dcterms:modified xsi:type="dcterms:W3CDTF">2022-04-05T12:49:00Z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