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7"/>
        <w:gridCol w:w="3358"/>
        <w:gridCol w:w="1093"/>
        <w:gridCol w:w="2048"/>
        <w:gridCol w:w="2258"/>
      </w:tblGrid>
      <w:tr w:rsidR="00B330EB" w:rsidRPr="00326F16" w14:paraId="592DCC3C" w14:textId="77777777" w:rsidTr="009955D0">
        <w:trPr>
          <w:trHeight w:val="123"/>
          <w:tblHeader/>
          <w:jc w:val="center"/>
        </w:trPr>
        <w:tc>
          <w:tcPr>
            <w:tcW w:w="314"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478" w:type="pct"/>
            <w:gridSpan w:val="3"/>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208"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9955D0">
        <w:trPr>
          <w:trHeight w:val="234"/>
          <w:jc w:val="center"/>
        </w:trPr>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86"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9955D0">
        <w:trPr>
          <w:trHeight w:val="695"/>
          <w:jc w:val="center"/>
        </w:trPr>
        <w:tc>
          <w:tcPr>
            <w:tcW w:w="314"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86" w:type="pct"/>
            <w:gridSpan w:val="4"/>
            <w:tcBorders>
              <w:top w:val="single" w:sz="4" w:space="0" w:color="auto"/>
              <w:left w:val="single" w:sz="4" w:space="0" w:color="auto"/>
              <w:bottom w:val="single" w:sz="4" w:space="0" w:color="auto"/>
            </w:tcBorders>
          </w:tcPr>
          <w:p w14:paraId="7D777384" w14:textId="3C15E508"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r w:rsidR="00267D3A">
              <w:rPr>
                <w:rFonts w:eastAsia="Times New Roman" w:cs="Times New Roman"/>
                <w:lang w:eastAsia="lv-LV"/>
              </w:rPr>
              <w:t>motorlaiva</w:t>
            </w:r>
            <w:r w:rsidR="007D65D4">
              <w:rPr>
                <w:rFonts w:eastAsia="Times New Roman" w:cs="Times New Roman"/>
                <w:lang w:eastAsia="lv-LV"/>
              </w:rPr>
              <w:t>s</w:t>
            </w:r>
            <w:r w:rsidR="00267D3A">
              <w:rPr>
                <w:rFonts w:eastAsia="Times New Roman" w:cs="Times New Roman"/>
                <w:lang w:eastAsia="lv-LV"/>
              </w:rPr>
              <w:t xml:space="preserve"> “Joda 24”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9955D0">
        <w:trPr>
          <w:trHeight w:val="280"/>
          <w:jc w:val="center"/>
        </w:trPr>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86"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54B7F168"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w:t>
            </w:r>
            <w:r w:rsidR="007D65D4">
              <w:rPr>
                <w:rFonts w:eastAsia="Times New Roman" w:cs="Times New Roman"/>
                <w:b/>
                <w:bCs/>
                <w:lang w:eastAsia="lv-LV"/>
              </w:rPr>
              <w:t>daudzums</w:t>
            </w:r>
          </w:p>
        </w:tc>
      </w:tr>
      <w:tr w:rsidR="007D65D4" w:rsidRPr="00326F16" w14:paraId="3B434F57" w14:textId="77777777" w:rsidTr="009955D0">
        <w:trPr>
          <w:trHeight w:val="416"/>
          <w:jc w:val="center"/>
        </w:trPr>
        <w:tc>
          <w:tcPr>
            <w:tcW w:w="3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00233" w14:textId="77777777" w:rsidR="007D65D4" w:rsidRPr="007D65D4" w:rsidRDefault="007D65D4" w:rsidP="00267D3A">
            <w:pPr>
              <w:ind w:left="710" w:right="567"/>
              <w:jc w:val="center"/>
              <w:rPr>
                <w:rFonts w:eastAsia="Times New Roman" w:cs="Times New Roman"/>
                <w:b/>
                <w:sz w:val="20"/>
                <w:szCs w:val="20"/>
                <w:lang w:eastAsia="lv-LV"/>
              </w:rPr>
            </w:pPr>
            <w:bookmarkStart w:id="0" w:name="_Hlk41290665"/>
          </w:p>
        </w:tc>
        <w:tc>
          <w:tcPr>
            <w:tcW w:w="1797" w:type="pct"/>
            <w:tcBorders>
              <w:top w:val="single" w:sz="4" w:space="0" w:color="auto"/>
              <w:left w:val="single" w:sz="4" w:space="0" w:color="auto"/>
              <w:bottom w:val="single" w:sz="4" w:space="0" w:color="auto"/>
            </w:tcBorders>
            <w:shd w:val="clear" w:color="auto" w:fill="F2F2F2" w:themeFill="background1" w:themeFillShade="F2"/>
            <w:vAlign w:val="center"/>
          </w:tcPr>
          <w:p w14:paraId="038409C5" w14:textId="760AB520" w:rsidR="007D65D4" w:rsidRPr="007D65D4" w:rsidRDefault="007D65D4" w:rsidP="009955D0">
            <w:pPr>
              <w:pStyle w:val="Style9"/>
              <w:shd w:val="clear" w:color="auto" w:fill="auto"/>
              <w:tabs>
                <w:tab w:val="left" w:pos="1499"/>
              </w:tabs>
              <w:spacing w:before="0" w:after="0"/>
              <w:ind w:left="108" w:right="130" w:firstLine="0"/>
              <w:jc w:val="center"/>
              <w:rPr>
                <w:rFonts w:eastAsia="Times New Roman" w:cs="Times New Roman"/>
                <w:iCs/>
                <w:sz w:val="20"/>
                <w:szCs w:val="20"/>
                <w:lang w:eastAsia="lv-LV"/>
              </w:rPr>
            </w:pPr>
            <w:r w:rsidRPr="007D65D4">
              <w:rPr>
                <w:rFonts w:eastAsia="Times New Roman" w:cs="Times New Roman"/>
                <w:bCs/>
                <w:i/>
                <w:sz w:val="20"/>
                <w:szCs w:val="20"/>
                <w:lang w:eastAsia="lv-LV"/>
              </w:rPr>
              <w:t>Manta</w:t>
            </w:r>
          </w:p>
        </w:tc>
        <w:tc>
          <w:tcPr>
            <w:tcW w:w="5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146A9" w14:textId="489A8BC2" w:rsidR="007D65D4" w:rsidRPr="007D65D4" w:rsidRDefault="007D65D4" w:rsidP="009955D0">
            <w:pPr>
              <w:pStyle w:val="Style9"/>
              <w:shd w:val="clear" w:color="auto" w:fill="auto"/>
              <w:tabs>
                <w:tab w:val="left" w:pos="1499"/>
              </w:tabs>
              <w:spacing w:before="0" w:after="0"/>
              <w:ind w:left="108" w:right="130" w:firstLine="0"/>
              <w:jc w:val="center"/>
              <w:rPr>
                <w:rFonts w:eastAsia="Times New Roman" w:cs="Times New Roman"/>
                <w:bCs/>
                <w:sz w:val="20"/>
                <w:szCs w:val="20"/>
                <w:lang w:eastAsia="lv-LV"/>
              </w:rPr>
            </w:pPr>
            <w:r w:rsidRPr="007D65D4">
              <w:rPr>
                <w:rFonts w:eastAsia="Times New Roman" w:cs="Times New Roman"/>
                <w:bCs/>
                <w:i/>
                <w:sz w:val="20"/>
                <w:szCs w:val="20"/>
                <w:lang w:eastAsia="lv-LV"/>
              </w:rPr>
              <w:t>Daudzums</w:t>
            </w:r>
          </w:p>
        </w:tc>
        <w:tc>
          <w:tcPr>
            <w:tcW w:w="10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9A738" w14:textId="66548E41" w:rsidR="007D65D4" w:rsidRPr="007D65D4" w:rsidRDefault="007D65D4" w:rsidP="009955D0">
            <w:pPr>
              <w:pStyle w:val="Style9"/>
              <w:shd w:val="clear" w:color="auto" w:fill="auto"/>
              <w:tabs>
                <w:tab w:val="left" w:pos="1499"/>
              </w:tabs>
              <w:spacing w:before="0" w:after="0"/>
              <w:ind w:left="108" w:right="130" w:firstLine="0"/>
              <w:jc w:val="center"/>
              <w:rPr>
                <w:rFonts w:eastAsia="Times New Roman" w:cs="Times New Roman"/>
                <w:bCs/>
                <w:sz w:val="20"/>
                <w:szCs w:val="20"/>
                <w:lang w:eastAsia="lv-LV"/>
              </w:rPr>
            </w:pPr>
            <w:r w:rsidRPr="007D65D4">
              <w:rPr>
                <w:rFonts w:eastAsia="Times New Roman" w:cs="Times New Roman"/>
                <w:bCs/>
                <w:i/>
                <w:sz w:val="20"/>
                <w:szCs w:val="20"/>
                <w:lang w:eastAsia="lv-LV"/>
              </w:rPr>
              <w:t>Muitas administrēto nodokļu summa EUR</w:t>
            </w:r>
          </w:p>
        </w:tc>
        <w:tc>
          <w:tcPr>
            <w:tcW w:w="1208" w:type="pct"/>
            <w:tcBorders>
              <w:top w:val="single" w:sz="4" w:space="0" w:color="auto"/>
              <w:left w:val="single" w:sz="4" w:space="0" w:color="auto"/>
              <w:bottom w:val="single" w:sz="4" w:space="0" w:color="auto"/>
            </w:tcBorders>
            <w:shd w:val="clear" w:color="auto" w:fill="F2F2F2" w:themeFill="background1" w:themeFillShade="F2"/>
            <w:vAlign w:val="center"/>
          </w:tcPr>
          <w:p w14:paraId="11C12F61" w14:textId="7F310180" w:rsidR="007D65D4" w:rsidRPr="007D65D4" w:rsidRDefault="007D65D4" w:rsidP="009955D0">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7D65D4" w:rsidRPr="00326F16" w14:paraId="3CCB44B9" w14:textId="77777777" w:rsidTr="009955D0">
        <w:trPr>
          <w:trHeight w:val="416"/>
          <w:jc w:val="center"/>
        </w:trPr>
        <w:tc>
          <w:tcPr>
            <w:tcW w:w="314" w:type="pct"/>
            <w:tcBorders>
              <w:top w:val="single" w:sz="4" w:space="0" w:color="auto"/>
              <w:left w:val="single" w:sz="4" w:space="0" w:color="auto"/>
              <w:bottom w:val="single" w:sz="4" w:space="0" w:color="auto"/>
              <w:right w:val="single" w:sz="4" w:space="0" w:color="auto"/>
            </w:tcBorders>
            <w:vAlign w:val="center"/>
          </w:tcPr>
          <w:p w14:paraId="18D8CF49" w14:textId="77777777" w:rsidR="007D65D4" w:rsidRPr="0061798A" w:rsidRDefault="007D65D4" w:rsidP="00267D3A">
            <w:pPr>
              <w:pStyle w:val="ListParagraph"/>
              <w:numPr>
                <w:ilvl w:val="1"/>
                <w:numId w:val="2"/>
              </w:numPr>
              <w:ind w:left="142" w:right="567" w:firstLine="0"/>
              <w:jc w:val="center"/>
              <w:rPr>
                <w:rFonts w:eastAsia="Times New Roman" w:cs="Times New Roman"/>
                <w:b/>
                <w:szCs w:val="24"/>
                <w:lang w:eastAsia="lv-LV"/>
              </w:rPr>
            </w:pPr>
          </w:p>
        </w:tc>
        <w:tc>
          <w:tcPr>
            <w:tcW w:w="1797" w:type="pct"/>
            <w:tcBorders>
              <w:top w:val="single" w:sz="4" w:space="0" w:color="auto"/>
              <w:left w:val="single" w:sz="4" w:space="0" w:color="auto"/>
              <w:bottom w:val="single" w:sz="4" w:space="0" w:color="auto"/>
            </w:tcBorders>
          </w:tcPr>
          <w:p w14:paraId="5094DC2A" w14:textId="1E334953" w:rsidR="007D65D4" w:rsidRPr="00A726B1" w:rsidRDefault="007D65D4" w:rsidP="007D65D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Motorlaiva “Joda 24”, 1996.gada izlaidums, šasijas Nr.CAR 005 (lietota, virsējais brezenta pārsegums bojāts) </w:t>
            </w:r>
            <w:r w:rsidRPr="00F87ADF">
              <w:rPr>
                <w:rFonts w:eastAsia="Times New Roman" w:cs="Times New Roman"/>
                <w:i/>
                <w:iCs/>
                <w:lang w:eastAsia="lv-LV"/>
              </w:rPr>
              <w:t>(skatīt attēlus Nr.1-</w:t>
            </w:r>
            <w:r>
              <w:rPr>
                <w:rFonts w:eastAsia="Times New Roman" w:cs="Times New Roman"/>
                <w:i/>
                <w:iCs/>
                <w:lang w:eastAsia="lv-LV"/>
              </w:rPr>
              <w:t>5</w:t>
            </w:r>
            <w:r w:rsidRPr="00F87ADF">
              <w:rPr>
                <w:rFonts w:eastAsia="Times New Roman" w:cs="Times New Roman"/>
                <w:i/>
                <w:iCs/>
                <w:lang w:eastAsia="lv-LV"/>
              </w:rPr>
              <w:t>)</w:t>
            </w:r>
          </w:p>
        </w:tc>
        <w:tc>
          <w:tcPr>
            <w:tcW w:w="585" w:type="pct"/>
            <w:tcBorders>
              <w:top w:val="single" w:sz="4" w:space="0" w:color="auto"/>
              <w:left w:val="single" w:sz="4" w:space="0" w:color="auto"/>
              <w:bottom w:val="single" w:sz="4" w:space="0" w:color="auto"/>
              <w:right w:val="single" w:sz="4" w:space="0" w:color="auto"/>
            </w:tcBorders>
          </w:tcPr>
          <w:p w14:paraId="7853BB9B" w14:textId="77777777" w:rsidR="007D65D4" w:rsidRPr="002A3286" w:rsidRDefault="007D65D4" w:rsidP="00267D3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A36EC">
              <w:rPr>
                <w:rFonts w:eastAsia="Times New Roman" w:cs="Times New Roman"/>
                <w:bCs/>
                <w:szCs w:val="24"/>
                <w:lang w:eastAsia="lv-LV"/>
              </w:rPr>
              <w:t>1</w:t>
            </w:r>
            <w:r>
              <w:rPr>
                <w:rFonts w:eastAsia="Times New Roman" w:cs="Times New Roman"/>
                <w:bCs/>
                <w:szCs w:val="24"/>
                <w:lang w:eastAsia="lv-LV"/>
              </w:rPr>
              <w:t xml:space="preserve"> gab.</w:t>
            </w:r>
          </w:p>
        </w:tc>
        <w:tc>
          <w:tcPr>
            <w:tcW w:w="1096" w:type="pct"/>
            <w:tcBorders>
              <w:top w:val="single" w:sz="4" w:space="0" w:color="auto"/>
              <w:left w:val="single" w:sz="4" w:space="0" w:color="auto"/>
              <w:bottom w:val="single" w:sz="4" w:space="0" w:color="auto"/>
              <w:right w:val="single" w:sz="4" w:space="0" w:color="auto"/>
            </w:tcBorders>
          </w:tcPr>
          <w:p w14:paraId="79CF1D62" w14:textId="33BD09D2" w:rsidR="007D65D4" w:rsidRPr="002A3286" w:rsidRDefault="007D65D4" w:rsidP="00267D3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452,36</w:t>
            </w:r>
          </w:p>
        </w:tc>
        <w:tc>
          <w:tcPr>
            <w:tcW w:w="1208" w:type="pct"/>
            <w:tcBorders>
              <w:top w:val="single" w:sz="4" w:space="0" w:color="auto"/>
              <w:left w:val="single" w:sz="4" w:space="0" w:color="auto"/>
              <w:bottom w:val="single" w:sz="4" w:space="0" w:color="auto"/>
            </w:tcBorders>
          </w:tcPr>
          <w:p w14:paraId="19A7288C" w14:textId="74EC992B" w:rsidR="007D65D4" w:rsidRPr="008E65E7" w:rsidRDefault="007D65D4" w:rsidP="00267D3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D65D4" w:rsidRPr="00326F16" w14:paraId="7924C614" w14:textId="77777777" w:rsidTr="009955D0">
        <w:trPr>
          <w:trHeight w:val="416"/>
          <w:jc w:val="center"/>
        </w:trPr>
        <w:tc>
          <w:tcPr>
            <w:tcW w:w="314" w:type="pct"/>
            <w:tcBorders>
              <w:top w:val="single" w:sz="4" w:space="0" w:color="auto"/>
              <w:left w:val="single" w:sz="4" w:space="0" w:color="auto"/>
              <w:bottom w:val="single" w:sz="4" w:space="0" w:color="auto"/>
              <w:right w:val="single" w:sz="4" w:space="0" w:color="auto"/>
            </w:tcBorders>
            <w:vAlign w:val="center"/>
          </w:tcPr>
          <w:p w14:paraId="443DCAA0" w14:textId="77777777" w:rsidR="007D65D4" w:rsidRPr="0061798A" w:rsidRDefault="007D65D4" w:rsidP="00267D3A">
            <w:pPr>
              <w:pStyle w:val="ListParagraph"/>
              <w:numPr>
                <w:ilvl w:val="1"/>
                <w:numId w:val="2"/>
              </w:numPr>
              <w:ind w:left="142" w:right="567" w:firstLine="0"/>
              <w:jc w:val="center"/>
              <w:rPr>
                <w:rFonts w:eastAsia="Times New Roman" w:cs="Times New Roman"/>
                <w:b/>
                <w:szCs w:val="24"/>
                <w:lang w:eastAsia="lv-LV"/>
              </w:rPr>
            </w:pPr>
          </w:p>
        </w:tc>
        <w:tc>
          <w:tcPr>
            <w:tcW w:w="4686" w:type="pct"/>
            <w:gridSpan w:val="4"/>
            <w:tcBorders>
              <w:top w:val="single" w:sz="4" w:space="0" w:color="auto"/>
              <w:left w:val="single" w:sz="4" w:space="0" w:color="auto"/>
              <w:bottom w:val="single" w:sz="4" w:space="0" w:color="auto"/>
            </w:tcBorders>
          </w:tcPr>
          <w:p w14:paraId="71AF9CF1" w14:textId="6708B2DA" w:rsidR="007D65D4" w:rsidRPr="008E65E7" w:rsidRDefault="007D65D4" w:rsidP="00267D3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persona</w:t>
            </w:r>
            <w:r w:rsidR="00990316">
              <w:rPr>
                <w:bCs/>
                <w:color w:val="000000"/>
                <w:szCs w:val="24"/>
              </w:rPr>
              <w:t xml:space="preserve"> </w:t>
            </w:r>
            <w:r w:rsidR="00990316" w:rsidRPr="00ED61BA">
              <w:rPr>
                <w:rFonts w:eastAsia="Times New Roman" w:cs="Times New Roman"/>
                <w:lang w:eastAsia="lv-LV"/>
              </w:rPr>
              <w:t>vai fiziska</w:t>
            </w:r>
            <w:r>
              <w:rPr>
                <w:bCs/>
                <w:color w:val="000000"/>
                <w:szCs w:val="24"/>
              </w:rPr>
              <w:t xml:space="preserve"> (turpmāk – persona) par </w:t>
            </w:r>
            <w:r w:rsidRPr="009D0921">
              <w:t>Tehniskā piedāvājuma 2.</w:t>
            </w:r>
            <w:r>
              <w:t xml:space="preserve">1. </w:t>
            </w:r>
            <w:r w:rsidRPr="009D0921">
              <w:t xml:space="preserve">apakšpunktā </w:t>
            </w:r>
            <w:r w:rsidRPr="009D0921">
              <w:rPr>
                <w:bCs/>
              </w:rPr>
              <w:t>no</w:t>
            </w:r>
            <w:r w:rsidR="004B4DC0">
              <w:rPr>
                <w:bCs/>
              </w:rPr>
              <w:t>rādīto</w:t>
            </w:r>
            <w:r w:rsidRPr="009D0921">
              <w:rPr>
                <w:bCs/>
              </w:rPr>
              <w:t xml:space="preserve"> valstij piekritīg</w:t>
            </w:r>
            <w:r w:rsidR="004B4DC0">
              <w:rPr>
                <w:bCs/>
              </w:rPr>
              <w:t>o</w:t>
            </w:r>
            <w:r w:rsidRPr="009D0921">
              <w:rPr>
                <w:bCs/>
              </w:rPr>
              <w:t xml:space="preserve"> mant</w:t>
            </w:r>
            <w:r w:rsidR="004B4DC0">
              <w:rPr>
                <w:bCs/>
              </w:rPr>
              <w:t xml:space="preserve">u </w:t>
            </w:r>
            <w:r w:rsidRPr="009D0921">
              <w:rPr>
                <w:bCs/>
              </w:rPr>
              <w:t>jāpiedāvā</w:t>
            </w:r>
            <w:r w:rsidRPr="009D0921">
              <w:t xml:space="preserve"> cena, kas nav zemāka par aprēķināto muitas administrēto nodokļu summu, kas norādīta Tehniskā piedāvājuma kolonnā “</w:t>
            </w:r>
            <w:r w:rsidRPr="007D65D4">
              <w:rPr>
                <w:bCs/>
                <w:i/>
              </w:rPr>
              <w:t>Muitas administrēto nodokļu summa EUR</w:t>
            </w:r>
            <w:r w:rsidRPr="009D0921">
              <w:rPr>
                <w:bCs/>
              </w:rPr>
              <w:t>”.</w:t>
            </w:r>
          </w:p>
        </w:tc>
      </w:tr>
      <w:bookmarkEnd w:id="0"/>
      <w:tr w:rsidR="00267D3A" w:rsidRPr="00326F16" w14:paraId="096A7045" w14:textId="77777777" w:rsidTr="009955D0">
        <w:trPr>
          <w:trHeight w:val="310"/>
          <w:jc w:val="center"/>
        </w:trPr>
        <w:tc>
          <w:tcPr>
            <w:tcW w:w="314" w:type="pct"/>
            <w:tcBorders>
              <w:top w:val="single" w:sz="4" w:space="0" w:color="auto"/>
            </w:tcBorders>
            <w:shd w:val="clear" w:color="auto" w:fill="D9D9D9" w:themeFill="background1" w:themeFillShade="D9"/>
            <w:vAlign w:val="center"/>
          </w:tcPr>
          <w:p w14:paraId="261C5C66" w14:textId="33F4347F" w:rsidR="00267D3A" w:rsidRPr="00600510" w:rsidRDefault="00267D3A" w:rsidP="00267D3A">
            <w:pPr>
              <w:pStyle w:val="ListParagraph"/>
              <w:numPr>
                <w:ilvl w:val="0"/>
                <w:numId w:val="2"/>
              </w:numPr>
              <w:ind w:left="142" w:right="1407" w:firstLine="0"/>
              <w:jc w:val="center"/>
              <w:rPr>
                <w:rFonts w:eastAsia="Times New Roman" w:cs="Times New Roman"/>
                <w:b/>
                <w:szCs w:val="24"/>
                <w:lang w:eastAsia="lv-LV"/>
              </w:rPr>
            </w:pPr>
          </w:p>
        </w:tc>
        <w:tc>
          <w:tcPr>
            <w:tcW w:w="4686" w:type="pct"/>
            <w:gridSpan w:val="4"/>
            <w:tcBorders>
              <w:top w:val="single" w:sz="4" w:space="0" w:color="auto"/>
            </w:tcBorders>
            <w:shd w:val="clear" w:color="auto" w:fill="D9D9D9" w:themeFill="background1" w:themeFillShade="D9"/>
          </w:tcPr>
          <w:p w14:paraId="212AFE4C" w14:textId="5DA4407C" w:rsidR="00267D3A" w:rsidRPr="00053AD3" w:rsidRDefault="00267D3A" w:rsidP="00267D3A">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267D3A" w:rsidRPr="00326F16" w14:paraId="47050900" w14:textId="77777777" w:rsidTr="009955D0">
        <w:trPr>
          <w:trHeight w:val="310"/>
          <w:jc w:val="center"/>
        </w:trPr>
        <w:tc>
          <w:tcPr>
            <w:tcW w:w="314" w:type="pct"/>
            <w:tcBorders>
              <w:top w:val="single" w:sz="4" w:space="0" w:color="auto"/>
            </w:tcBorders>
            <w:vAlign w:val="center"/>
          </w:tcPr>
          <w:p w14:paraId="10888837" w14:textId="77777777" w:rsidR="00267D3A" w:rsidRPr="00600510" w:rsidRDefault="00267D3A" w:rsidP="00267D3A">
            <w:pPr>
              <w:pStyle w:val="ListParagraph"/>
              <w:numPr>
                <w:ilvl w:val="1"/>
                <w:numId w:val="2"/>
              </w:numPr>
              <w:ind w:left="142" w:right="567" w:firstLine="0"/>
              <w:jc w:val="center"/>
              <w:rPr>
                <w:rFonts w:eastAsia="Times New Roman" w:cs="Times New Roman"/>
                <w:b/>
                <w:szCs w:val="24"/>
                <w:lang w:eastAsia="lv-LV"/>
              </w:rPr>
            </w:pPr>
          </w:p>
        </w:tc>
        <w:tc>
          <w:tcPr>
            <w:tcW w:w="4686" w:type="pct"/>
            <w:gridSpan w:val="4"/>
            <w:tcBorders>
              <w:top w:val="single" w:sz="4" w:space="0" w:color="auto"/>
            </w:tcBorders>
          </w:tcPr>
          <w:p w14:paraId="4CAA9438" w14:textId="1E174A02" w:rsidR="00267D3A" w:rsidRPr="00326F16" w:rsidRDefault="00267D3A" w:rsidP="00267D3A">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Sarkanmuižas dambī 25a, Ventspilī. </w:t>
            </w:r>
          </w:p>
        </w:tc>
      </w:tr>
      <w:tr w:rsidR="00267D3A" w:rsidRPr="00326F16" w14:paraId="30D5BCBF" w14:textId="77777777" w:rsidTr="009955D0">
        <w:trPr>
          <w:trHeight w:val="310"/>
          <w:jc w:val="center"/>
        </w:trPr>
        <w:tc>
          <w:tcPr>
            <w:tcW w:w="314" w:type="pct"/>
            <w:tcBorders>
              <w:top w:val="single" w:sz="4" w:space="0" w:color="auto"/>
              <w:bottom w:val="single" w:sz="4" w:space="0" w:color="auto"/>
            </w:tcBorders>
            <w:vAlign w:val="center"/>
          </w:tcPr>
          <w:p w14:paraId="64DDC4E8" w14:textId="77777777" w:rsidR="00267D3A" w:rsidRPr="00600510" w:rsidRDefault="00267D3A" w:rsidP="00267D3A">
            <w:pPr>
              <w:pStyle w:val="ListParagraph"/>
              <w:numPr>
                <w:ilvl w:val="1"/>
                <w:numId w:val="2"/>
              </w:numPr>
              <w:ind w:left="142" w:right="567" w:firstLine="0"/>
              <w:jc w:val="center"/>
              <w:rPr>
                <w:rFonts w:eastAsia="Times New Roman" w:cs="Times New Roman"/>
                <w:b/>
                <w:szCs w:val="24"/>
                <w:lang w:eastAsia="lv-LV"/>
              </w:rPr>
            </w:pPr>
          </w:p>
        </w:tc>
        <w:tc>
          <w:tcPr>
            <w:tcW w:w="4686" w:type="pct"/>
            <w:gridSpan w:val="4"/>
            <w:tcBorders>
              <w:top w:val="single" w:sz="4" w:space="0" w:color="auto"/>
              <w:bottom w:val="single" w:sz="4" w:space="0" w:color="auto"/>
            </w:tcBorders>
          </w:tcPr>
          <w:p w14:paraId="34493193" w14:textId="7B8FEBB5" w:rsidR="00267D3A" w:rsidRDefault="00267D3A" w:rsidP="00267D3A">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5B5284CD" w:rsidR="00267D3A" w:rsidRPr="00326F16" w:rsidRDefault="00267D3A" w:rsidP="00267D3A">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Pr>
                <w:rFonts w:eastAsia="Times New Roman" w:cs="Times New Roman"/>
                <w:szCs w:val="24"/>
                <w:lang w:eastAsia="lv-LV"/>
              </w:rPr>
              <w:t>personai</w:t>
            </w:r>
            <w:r w:rsidRPr="001625BC">
              <w:rPr>
                <w:rFonts w:eastAsia="Times New Roman" w:cs="Times New Roman"/>
                <w:szCs w:val="24"/>
                <w:lang w:eastAsia="lv-LV"/>
              </w:rPr>
              <w:t xml:space="preserve"> sniegs e-pastā. Mutvārdos sniegtā informācija nav saistoša.</w:t>
            </w:r>
          </w:p>
        </w:tc>
      </w:tr>
      <w:tr w:rsidR="00267D3A" w:rsidRPr="00326F16" w14:paraId="215F05FC" w14:textId="77777777" w:rsidTr="009955D0">
        <w:trPr>
          <w:trHeight w:val="310"/>
          <w:jc w:val="center"/>
        </w:trPr>
        <w:tc>
          <w:tcPr>
            <w:tcW w:w="314" w:type="pct"/>
            <w:tcBorders>
              <w:top w:val="single" w:sz="4" w:space="0" w:color="auto"/>
              <w:bottom w:val="single" w:sz="4" w:space="0" w:color="auto"/>
            </w:tcBorders>
            <w:vAlign w:val="center"/>
          </w:tcPr>
          <w:p w14:paraId="4070FA7B" w14:textId="77777777" w:rsidR="00267D3A" w:rsidRPr="00600510" w:rsidRDefault="00267D3A" w:rsidP="00267D3A">
            <w:pPr>
              <w:pStyle w:val="ListParagraph"/>
              <w:numPr>
                <w:ilvl w:val="1"/>
                <w:numId w:val="2"/>
              </w:numPr>
              <w:ind w:left="142" w:right="567" w:firstLine="0"/>
              <w:jc w:val="center"/>
              <w:rPr>
                <w:rFonts w:eastAsia="Times New Roman" w:cs="Times New Roman"/>
                <w:b/>
                <w:szCs w:val="24"/>
                <w:lang w:eastAsia="lv-LV"/>
              </w:rPr>
            </w:pPr>
          </w:p>
        </w:tc>
        <w:tc>
          <w:tcPr>
            <w:tcW w:w="4686" w:type="pct"/>
            <w:gridSpan w:val="4"/>
            <w:tcBorders>
              <w:top w:val="single" w:sz="4" w:space="0" w:color="auto"/>
              <w:bottom w:val="single" w:sz="4" w:space="0" w:color="auto"/>
            </w:tcBorders>
          </w:tcPr>
          <w:p w14:paraId="1FEAC7BF" w14:textId="77777777" w:rsidR="00267D3A" w:rsidRDefault="00267D3A" w:rsidP="00267D3A">
            <w:pPr>
              <w:ind w:left="140" w:right="130"/>
              <w:jc w:val="both"/>
              <w:rPr>
                <w:rStyle w:val="Hyperlink"/>
                <w:rFonts w:eastAsia="Times New Roman" w:cs="Times New Roman"/>
                <w:szCs w:val="24"/>
                <w:u w:val="none"/>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speciālist_ valstij piekritīgo mantu darbības jomā  Dinu Alberti,</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7E79E6">
                <w:rPr>
                  <w:rStyle w:val="Hyperlink"/>
                  <w:rFonts w:eastAsia="Times New Roman" w:cs="Times New Roman"/>
                  <w:szCs w:val="24"/>
                  <w:lang w:eastAsia="lv-LV"/>
                </w:rPr>
                <w:t>dina.alberte@vid.gov.lv</w:t>
              </w:r>
            </w:hyperlink>
            <w:r w:rsidRPr="0025786C">
              <w:rPr>
                <w:rStyle w:val="Hyperlink"/>
                <w:rFonts w:eastAsia="Times New Roman" w:cs="Times New Roman"/>
                <w:szCs w:val="24"/>
                <w:u w:val="none"/>
                <w:lang w:eastAsia="lv-LV"/>
              </w:rPr>
              <w:t xml:space="preserve">. </w:t>
            </w:r>
          </w:p>
          <w:p w14:paraId="1F692FE4" w14:textId="62C0F7AE" w:rsidR="00267D3A" w:rsidRPr="0023059B" w:rsidRDefault="00267D3A" w:rsidP="00267D3A">
            <w:pPr>
              <w:ind w:left="140" w:right="130"/>
              <w:jc w:val="both"/>
              <w:rPr>
                <w:rFonts w:eastAsia="Times New Roman" w:cs="Times New Roman"/>
                <w:i/>
                <w:sz w:val="22"/>
                <w:lang w:eastAsia="lv-LV"/>
              </w:rPr>
            </w:pPr>
            <w:r>
              <w:t>Kontaktpersona nesniedz atbildes uz citiem jautājumiem.</w:t>
            </w:r>
          </w:p>
        </w:tc>
      </w:tr>
      <w:tr w:rsidR="00267D3A" w:rsidRPr="00326F16" w14:paraId="2534F617" w14:textId="77777777" w:rsidTr="009955D0">
        <w:trPr>
          <w:trHeight w:val="310"/>
          <w:jc w:val="center"/>
        </w:trPr>
        <w:tc>
          <w:tcPr>
            <w:tcW w:w="314" w:type="pct"/>
            <w:tcBorders>
              <w:top w:val="single" w:sz="4" w:space="0" w:color="auto"/>
              <w:bottom w:val="single" w:sz="4" w:space="0" w:color="auto"/>
            </w:tcBorders>
            <w:shd w:val="clear" w:color="auto" w:fill="D9D9D9" w:themeFill="background1" w:themeFillShade="D9"/>
            <w:vAlign w:val="center"/>
          </w:tcPr>
          <w:p w14:paraId="66C028E3" w14:textId="77777777" w:rsidR="00267D3A" w:rsidRPr="00600510" w:rsidRDefault="00267D3A" w:rsidP="00267D3A">
            <w:pPr>
              <w:pStyle w:val="ListParagraph"/>
              <w:numPr>
                <w:ilvl w:val="0"/>
                <w:numId w:val="2"/>
              </w:numPr>
              <w:ind w:left="142" w:right="1407" w:firstLine="0"/>
              <w:jc w:val="center"/>
              <w:rPr>
                <w:rFonts w:eastAsia="Times New Roman" w:cs="Times New Roman"/>
                <w:b/>
                <w:szCs w:val="24"/>
                <w:lang w:eastAsia="lv-LV"/>
              </w:rPr>
            </w:pPr>
          </w:p>
        </w:tc>
        <w:tc>
          <w:tcPr>
            <w:tcW w:w="4686" w:type="pct"/>
            <w:gridSpan w:val="4"/>
            <w:tcBorders>
              <w:top w:val="single" w:sz="4" w:space="0" w:color="auto"/>
              <w:bottom w:val="single" w:sz="4" w:space="0" w:color="auto"/>
            </w:tcBorders>
            <w:shd w:val="clear" w:color="auto" w:fill="D9D9D9" w:themeFill="background1" w:themeFillShade="D9"/>
          </w:tcPr>
          <w:p w14:paraId="53B6C1C8" w14:textId="4A100E97" w:rsidR="00267D3A" w:rsidRPr="006A6B70" w:rsidRDefault="00267D3A" w:rsidP="00267D3A">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267D3A" w:rsidRPr="00326F16" w14:paraId="4F580A16" w14:textId="77777777" w:rsidTr="009955D0">
        <w:trPr>
          <w:trHeight w:val="310"/>
          <w:jc w:val="center"/>
        </w:trPr>
        <w:tc>
          <w:tcPr>
            <w:tcW w:w="314" w:type="pct"/>
            <w:tcBorders>
              <w:top w:val="single" w:sz="4" w:space="0" w:color="auto"/>
              <w:bottom w:val="single" w:sz="4" w:space="0" w:color="auto"/>
            </w:tcBorders>
            <w:vAlign w:val="center"/>
          </w:tcPr>
          <w:p w14:paraId="4C0EEBAA" w14:textId="77777777" w:rsidR="00267D3A" w:rsidRPr="00600510" w:rsidRDefault="00267D3A" w:rsidP="00267D3A">
            <w:pPr>
              <w:pStyle w:val="ListParagraph"/>
              <w:numPr>
                <w:ilvl w:val="1"/>
                <w:numId w:val="2"/>
              </w:numPr>
              <w:ind w:left="142" w:right="567" w:firstLine="0"/>
              <w:jc w:val="center"/>
              <w:rPr>
                <w:rFonts w:eastAsia="Times New Roman" w:cs="Times New Roman"/>
                <w:b/>
                <w:szCs w:val="24"/>
                <w:lang w:eastAsia="lv-LV"/>
              </w:rPr>
            </w:pPr>
          </w:p>
        </w:tc>
        <w:tc>
          <w:tcPr>
            <w:tcW w:w="3478" w:type="pct"/>
            <w:gridSpan w:val="3"/>
            <w:tcBorders>
              <w:top w:val="single" w:sz="4" w:space="0" w:color="auto"/>
              <w:bottom w:val="single" w:sz="4" w:space="0" w:color="auto"/>
            </w:tcBorders>
          </w:tcPr>
          <w:p w14:paraId="7373A4E2" w14:textId="55A74799" w:rsidR="00267D3A" w:rsidRPr="00702CF4" w:rsidRDefault="00267D3A" w:rsidP="00267D3A">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5 (piecu) darba dienu laikā no</w:t>
            </w:r>
            <w:r>
              <w:rPr>
                <w:rFonts w:eastAsia="Times New Roman" w:cs="Times New Roman"/>
                <w:lang w:eastAsia="lv-LV"/>
              </w:rPr>
              <w:t xml:space="preserve">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Ja priekšapmaksa netiek veikta noteiktajā termiņā, VID ir tiesības </w:t>
            </w:r>
            <w:r>
              <w:rPr>
                <w:rFonts w:eastAsia="Times New Roman" w:cs="Times New Roman"/>
                <w:lang w:eastAsia="lv-LV"/>
              </w:rPr>
              <w:t>Mantu personai nerealizēt.</w:t>
            </w:r>
            <w:r w:rsidRPr="00702CF4">
              <w:rPr>
                <w:rFonts w:eastAsia="Times New Roman" w:cs="Times New Roman"/>
                <w:lang w:eastAsia="lv-LV"/>
              </w:rPr>
              <w:t xml:space="preserve"> </w:t>
            </w:r>
          </w:p>
        </w:tc>
        <w:tc>
          <w:tcPr>
            <w:tcW w:w="1208" w:type="pct"/>
          </w:tcPr>
          <w:p w14:paraId="368960EC" w14:textId="77777777" w:rsidR="00267D3A" w:rsidRPr="00326F16" w:rsidRDefault="00267D3A" w:rsidP="00267D3A">
            <w:pPr>
              <w:ind w:left="-6"/>
              <w:jc w:val="both"/>
              <w:rPr>
                <w:rFonts w:eastAsia="Times New Roman" w:cs="Times New Roman"/>
                <w:szCs w:val="24"/>
                <w:lang w:eastAsia="lv-LV"/>
              </w:rPr>
            </w:pPr>
          </w:p>
        </w:tc>
      </w:tr>
      <w:tr w:rsidR="00267D3A" w:rsidRPr="00326F16" w14:paraId="426408DE" w14:textId="77777777" w:rsidTr="009955D0">
        <w:trPr>
          <w:trHeight w:val="310"/>
          <w:jc w:val="center"/>
        </w:trPr>
        <w:tc>
          <w:tcPr>
            <w:tcW w:w="314" w:type="pct"/>
            <w:tcBorders>
              <w:top w:val="single" w:sz="4" w:space="0" w:color="auto"/>
              <w:bottom w:val="single" w:sz="4" w:space="0" w:color="auto"/>
            </w:tcBorders>
            <w:vAlign w:val="center"/>
          </w:tcPr>
          <w:p w14:paraId="77FD56D5" w14:textId="77777777" w:rsidR="00267D3A" w:rsidRPr="00600510" w:rsidRDefault="00267D3A" w:rsidP="00267D3A">
            <w:pPr>
              <w:pStyle w:val="ListParagraph"/>
              <w:numPr>
                <w:ilvl w:val="1"/>
                <w:numId w:val="2"/>
              </w:numPr>
              <w:ind w:left="142" w:right="567" w:firstLine="0"/>
              <w:jc w:val="center"/>
              <w:rPr>
                <w:rFonts w:eastAsia="Times New Roman" w:cs="Times New Roman"/>
                <w:b/>
                <w:szCs w:val="24"/>
                <w:lang w:eastAsia="lv-LV"/>
              </w:rPr>
            </w:pPr>
          </w:p>
        </w:tc>
        <w:tc>
          <w:tcPr>
            <w:tcW w:w="3478" w:type="pct"/>
            <w:gridSpan w:val="3"/>
            <w:tcBorders>
              <w:top w:val="single" w:sz="4" w:space="0" w:color="auto"/>
              <w:bottom w:val="single" w:sz="4" w:space="0" w:color="auto"/>
            </w:tcBorders>
          </w:tcPr>
          <w:p w14:paraId="4CF91713" w14:textId="1464B089" w:rsidR="00267D3A" w:rsidRDefault="00267D3A" w:rsidP="00267D3A">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pieņem lēmumu nerealizēt Mantu personai Tehniskā piedāvājuma 4.1.apakšpunktā noteiktajā gadījumā, tad tiesības iegādāties Mantu piekrīt nākošajai personai, kura ir iesniegusi </w:t>
            </w:r>
            <w:r>
              <w:rPr>
                <w:rFonts w:eastAsia="Times New Roman" w:cs="Times New Roman"/>
                <w:szCs w:val="24"/>
                <w:lang w:eastAsia="lv-LV"/>
              </w:rPr>
              <w:lastRenderedPageBreak/>
              <w:t xml:space="preserve">piedāvājumu ar augstāku cenu, vai gadījumā, ja cenas ir vienādas, iesniegusi piedāvājumu ātrāk. </w:t>
            </w:r>
          </w:p>
        </w:tc>
        <w:tc>
          <w:tcPr>
            <w:tcW w:w="1208" w:type="pct"/>
          </w:tcPr>
          <w:p w14:paraId="0AF70ABF" w14:textId="77777777" w:rsidR="00267D3A" w:rsidRPr="00326F16" w:rsidRDefault="00267D3A" w:rsidP="00267D3A">
            <w:pPr>
              <w:ind w:left="-6"/>
              <w:jc w:val="both"/>
              <w:rPr>
                <w:rFonts w:eastAsia="Times New Roman" w:cs="Times New Roman"/>
                <w:szCs w:val="24"/>
                <w:lang w:eastAsia="lv-LV"/>
              </w:rPr>
            </w:pPr>
          </w:p>
        </w:tc>
      </w:tr>
      <w:tr w:rsidR="00267D3A" w:rsidRPr="00326F16" w14:paraId="6A2F0A87" w14:textId="77777777" w:rsidTr="009955D0">
        <w:trPr>
          <w:trHeight w:val="310"/>
          <w:jc w:val="center"/>
        </w:trPr>
        <w:tc>
          <w:tcPr>
            <w:tcW w:w="314" w:type="pct"/>
            <w:tcBorders>
              <w:top w:val="single" w:sz="4" w:space="0" w:color="auto"/>
              <w:bottom w:val="single" w:sz="4" w:space="0" w:color="auto"/>
            </w:tcBorders>
            <w:vAlign w:val="center"/>
          </w:tcPr>
          <w:p w14:paraId="5B96E305" w14:textId="77777777" w:rsidR="00267D3A" w:rsidRPr="00600510" w:rsidRDefault="00267D3A" w:rsidP="00267D3A">
            <w:pPr>
              <w:pStyle w:val="ListParagraph"/>
              <w:numPr>
                <w:ilvl w:val="1"/>
                <w:numId w:val="2"/>
              </w:numPr>
              <w:ind w:left="142" w:right="567" w:firstLine="0"/>
              <w:jc w:val="center"/>
              <w:rPr>
                <w:rFonts w:eastAsia="Times New Roman" w:cs="Times New Roman"/>
                <w:b/>
                <w:szCs w:val="24"/>
                <w:lang w:eastAsia="lv-LV"/>
              </w:rPr>
            </w:pPr>
          </w:p>
        </w:tc>
        <w:tc>
          <w:tcPr>
            <w:tcW w:w="3478" w:type="pct"/>
            <w:gridSpan w:val="3"/>
            <w:tcBorders>
              <w:top w:val="single" w:sz="4" w:space="0" w:color="auto"/>
              <w:bottom w:val="single" w:sz="4" w:space="0" w:color="auto"/>
            </w:tcBorders>
          </w:tcPr>
          <w:p w14:paraId="46900F75" w14:textId="24E0C4FF" w:rsidR="00267D3A" w:rsidRDefault="00267D3A" w:rsidP="00267D3A">
            <w:pPr>
              <w:tabs>
                <w:tab w:val="left" w:pos="1108"/>
              </w:tabs>
              <w:ind w:left="135" w:right="83"/>
              <w:jc w:val="both"/>
              <w:rPr>
                <w:rFonts w:eastAsia="Times New Roman" w:cs="Times New Roman"/>
                <w:szCs w:val="24"/>
                <w:lang w:eastAsia="lv-LV"/>
              </w:rPr>
            </w:pPr>
            <w:r>
              <w:rPr>
                <w:rFonts w:eastAsia="Times New Roman" w:cs="Times New Roman"/>
                <w:szCs w:val="24"/>
                <w:lang w:eastAsia="lv-LV"/>
              </w:rPr>
              <w:t>VID valstij piekritīgo mantu personai nodod un persona to pieņem 10 (desmit) darba dienu laikā no Tehniskā piedāvājuma 4.1.apakšpunktā minēto nosacījumu izpildes.</w:t>
            </w:r>
          </w:p>
        </w:tc>
        <w:tc>
          <w:tcPr>
            <w:tcW w:w="1208" w:type="pct"/>
          </w:tcPr>
          <w:p w14:paraId="1FADD0C6" w14:textId="77777777" w:rsidR="00267D3A" w:rsidRPr="00326F16" w:rsidRDefault="00267D3A" w:rsidP="00267D3A">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3B48A2"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48374FBD" w:rsidR="00BB1995" w:rsidRPr="003B48A2" w:rsidRDefault="00267D3A" w:rsidP="003B48A2">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3B48A2">
              <w:rPr>
                <w:rFonts w:ascii="Times New Roman" w:eastAsia="Times New Roman" w:hAnsi="Times New Roman" w:cs="Times New Roman"/>
                <w:iCs/>
                <w:sz w:val="24"/>
                <w:szCs w:val="24"/>
                <w:lang w:eastAsia="lv-LV"/>
              </w:rPr>
              <w:t xml:space="preserve">Motorlaiva “Joda 24”, 1996.gada izlaidums, šasijas Nr.CAR 005 (lietota, virsējais brezenta pārsegums bojāts) </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6A9FB2EB" w:rsidR="00BB1995" w:rsidRPr="003B48A2" w:rsidRDefault="00267D3A" w:rsidP="00BB1995">
            <w:pPr>
              <w:jc w:val="center"/>
              <w:rPr>
                <w:rFonts w:ascii="Times New Roman" w:eastAsia="Times New Roman" w:hAnsi="Times New Roman" w:cs="Times New Roman"/>
                <w:sz w:val="24"/>
                <w:szCs w:val="24"/>
              </w:rPr>
            </w:pPr>
            <w:r w:rsidRPr="003B48A2">
              <w:rPr>
                <w:rFonts w:ascii="Times New Roman" w:eastAsia="Times New Roman" w:hAnsi="Times New Roman" w:cs="Times New Roman"/>
                <w:sz w:val="24"/>
                <w:szCs w:val="24"/>
              </w:rPr>
              <w:t>1</w:t>
            </w:r>
            <w:r w:rsidRPr="003B48A2">
              <w:rPr>
                <w:rFonts w:ascii="Times New Roman" w:hAnsi="Times New Roman" w:cs="Times New Roman"/>
                <w:sz w:val="24"/>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3B48A2" w:rsidRDefault="00BB1995" w:rsidP="00BB1995">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3A9B04E3"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EB4481">
        <w:rPr>
          <w:rFonts w:eastAsia="Times New Roman" w:cs="Times New Roman"/>
          <w:b/>
          <w:bCs/>
          <w:sz w:val="26"/>
          <w:szCs w:val="26"/>
          <w:lang w:eastAsia="lv-LV"/>
        </w:rPr>
        <w:t>gada</w:t>
      </w:r>
      <w:r w:rsidR="00767B7E" w:rsidRPr="00EB4481">
        <w:rPr>
          <w:rFonts w:eastAsia="Times New Roman" w:cs="Times New Roman"/>
          <w:b/>
          <w:bCs/>
          <w:sz w:val="26"/>
          <w:szCs w:val="26"/>
          <w:lang w:eastAsia="lv-LV"/>
        </w:rPr>
        <w:t xml:space="preserve"> </w:t>
      </w:r>
      <w:r w:rsidR="0018470D">
        <w:rPr>
          <w:rFonts w:eastAsia="Times New Roman" w:cs="Times New Roman"/>
          <w:b/>
          <w:bCs/>
          <w:sz w:val="26"/>
          <w:szCs w:val="26"/>
          <w:lang w:eastAsia="lv-LV"/>
        </w:rPr>
        <w:t>30</w:t>
      </w:r>
      <w:bookmarkStart w:id="2" w:name="_GoBack"/>
      <w:bookmarkEnd w:id="2"/>
      <w:r w:rsidR="00BE4B8A" w:rsidRPr="00EB4481">
        <w:rPr>
          <w:rFonts w:eastAsia="Times New Roman" w:cs="Times New Roman"/>
          <w:b/>
          <w:bCs/>
          <w:sz w:val="26"/>
          <w:szCs w:val="26"/>
          <w:lang w:eastAsia="lv-LV"/>
        </w:rPr>
        <w:t>.</w:t>
      </w:r>
      <w:r w:rsidR="00267D3A" w:rsidRPr="00EB4481">
        <w:rPr>
          <w:rFonts w:eastAsia="Times New Roman" w:cs="Times New Roman"/>
          <w:b/>
          <w:bCs/>
          <w:sz w:val="26"/>
          <w:szCs w:val="26"/>
          <w:lang w:eastAsia="lv-LV"/>
        </w:rPr>
        <w:t>martam</w:t>
      </w:r>
      <w:r w:rsidR="009D1848" w:rsidRPr="00EB4481">
        <w:rPr>
          <w:rFonts w:eastAsia="Times New Roman" w:cs="Times New Roman"/>
          <w:b/>
          <w:bCs/>
          <w:sz w:val="26"/>
          <w:szCs w:val="26"/>
          <w:lang w:eastAsia="lv-LV"/>
        </w:rPr>
        <w:t>,</w:t>
      </w:r>
      <w:r w:rsidR="009D1848" w:rsidRPr="00EB4481">
        <w:rPr>
          <w:rFonts w:eastAsia="Times New Roman" w:cs="Times New Roman"/>
          <w:sz w:val="26"/>
          <w:szCs w:val="26"/>
          <w:lang w:eastAsia="lv-LV"/>
        </w:rPr>
        <w:t xml:space="preserve"> </w:t>
      </w:r>
      <w:r w:rsidRPr="00EB4481">
        <w:rPr>
          <w:rFonts w:eastAsia="Times New Roman" w:cs="Times New Roman"/>
          <w:sz w:val="26"/>
          <w:szCs w:val="26"/>
          <w:lang w:eastAsia="lv-LV"/>
        </w:rPr>
        <w:t>nosūt</w:t>
      </w:r>
      <w:r w:rsidR="00217BF5" w:rsidRPr="00EB4481">
        <w:rPr>
          <w:rFonts w:eastAsia="Times New Roman" w:cs="Times New Roman"/>
          <w:sz w:val="26"/>
          <w:szCs w:val="26"/>
          <w:lang w:eastAsia="lv-LV"/>
        </w:rPr>
        <w:t>o</w:t>
      </w:r>
      <w:r w:rsidRPr="00EB448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3"/>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4B4DC0"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w:t>
      </w:r>
      <w:r w:rsidRPr="004B4DC0">
        <w:rPr>
          <w:rFonts w:eastAsia="Times New Roman" w:cs="Times New Roman"/>
          <w:sz w:val="26"/>
          <w:szCs w:val="26"/>
          <w:lang w:eastAsia="lv-LV"/>
        </w:rPr>
        <w:t>komata.</w:t>
      </w:r>
    </w:p>
    <w:p w14:paraId="4430EE4E" w14:textId="1814D369" w:rsidR="00CB009F" w:rsidRPr="004B4DC0"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4B4DC0">
        <w:rPr>
          <w:rFonts w:eastAsia="Times New Roman" w:cs="Times New Roman"/>
          <w:sz w:val="26"/>
          <w:szCs w:val="26"/>
          <w:lang w:eastAsia="lv-LV"/>
        </w:rPr>
        <w:t xml:space="preserve"> Finanšu piedāvājumā </w:t>
      </w:r>
      <w:r w:rsidR="004D713C" w:rsidRPr="004B4DC0">
        <w:rPr>
          <w:rFonts w:eastAsia="Times New Roman" w:cs="Times New Roman"/>
          <w:sz w:val="26"/>
          <w:szCs w:val="26"/>
          <w:lang w:eastAsia="lv-LV"/>
        </w:rPr>
        <w:t xml:space="preserve">norādītā cena </w:t>
      </w:r>
      <w:r w:rsidRPr="004B4DC0">
        <w:rPr>
          <w:rFonts w:eastAsia="Times New Roman" w:cs="Times New Roman"/>
          <w:sz w:val="26"/>
          <w:szCs w:val="26"/>
          <w:lang w:eastAsia="lv-LV"/>
        </w:rPr>
        <w:t xml:space="preserve">EUR (bez PVN) tiks izmantota piedāvājuma ar visaugstāko </w:t>
      </w:r>
      <w:r w:rsidR="004D713C" w:rsidRPr="004B4DC0">
        <w:rPr>
          <w:rFonts w:eastAsia="Times New Roman" w:cs="Times New Roman"/>
          <w:sz w:val="26"/>
          <w:szCs w:val="26"/>
          <w:lang w:eastAsia="lv-LV"/>
        </w:rPr>
        <w:t>cenu noteikšanai</w:t>
      </w:r>
      <w:r w:rsidR="001F3FE6" w:rsidRPr="004B4DC0">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6DD5A89D" w:rsidR="00CB009F" w:rsidRPr="004B4DC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lastRenderedPageBreak/>
        <w:t xml:space="preserve"> Tiesības </w:t>
      </w:r>
      <w:r w:rsidRPr="004B4DC0">
        <w:rPr>
          <w:rFonts w:eastAsia="Times New Roman" w:cs="Times New Roman"/>
          <w:sz w:val="26"/>
          <w:szCs w:val="26"/>
          <w:lang w:eastAsia="lv-LV"/>
        </w:rPr>
        <w:t xml:space="preserve">iegādāties valstij piekritīgo mantu tiks piešķirtas </w:t>
      </w:r>
      <w:r w:rsidR="006C73CA" w:rsidRPr="004B4DC0">
        <w:rPr>
          <w:rFonts w:eastAsia="Times New Roman" w:cs="Times New Roman"/>
          <w:sz w:val="26"/>
          <w:szCs w:val="26"/>
          <w:lang w:eastAsia="lv-LV"/>
        </w:rPr>
        <w:t>p</w:t>
      </w:r>
      <w:r w:rsidR="00F63949" w:rsidRPr="004B4DC0">
        <w:rPr>
          <w:rFonts w:eastAsia="Times New Roman" w:cs="Times New Roman"/>
          <w:sz w:val="26"/>
          <w:szCs w:val="26"/>
          <w:lang w:eastAsia="lv-LV"/>
        </w:rPr>
        <w:t>ersonai</w:t>
      </w:r>
      <w:r w:rsidRPr="004B4DC0">
        <w:rPr>
          <w:rFonts w:eastAsia="Times New Roman" w:cs="Times New Roman"/>
          <w:sz w:val="26"/>
          <w:szCs w:val="26"/>
          <w:lang w:eastAsia="lv-LV"/>
        </w:rPr>
        <w:t>, kur</w:t>
      </w:r>
      <w:r w:rsidR="00F63949" w:rsidRPr="004B4DC0">
        <w:rPr>
          <w:rFonts w:eastAsia="Times New Roman" w:cs="Times New Roman"/>
          <w:sz w:val="26"/>
          <w:szCs w:val="26"/>
          <w:lang w:eastAsia="lv-LV"/>
        </w:rPr>
        <w:t>a</w:t>
      </w:r>
      <w:r w:rsidRPr="004B4DC0">
        <w:rPr>
          <w:rFonts w:eastAsia="Times New Roman" w:cs="Times New Roman"/>
          <w:sz w:val="26"/>
          <w:szCs w:val="26"/>
          <w:lang w:eastAsia="lv-LV"/>
        </w:rPr>
        <w:t xml:space="preserve"> piedāvās </w:t>
      </w:r>
      <w:r w:rsidR="001F3FE6" w:rsidRPr="004B4DC0">
        <w:rPr>
          <w:i/>
          <w:iCs/>
          <w:color w:val="000000"/>
          <w:sz w:val="27"/>
          <w:szCs w:val="27"/>
        </w:rPr>
        <w:t>visaugstāko cenu</w:t>
      </w:r>
      <w:r w:rsidR="005A5107" w:rsidRPr="004B4DC0">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4B4DC0">
        <w:rPr>
          <w:rFonts w:eastAsia="Times New Roman" w:cs="Times New Roman"/>
          <w:sz w:val="26"/>
          <w:szCs w:val="26"/>
          <w:lang w:eastAsia="lv-LV"/>
        </w:rPr>
        <w:t xml:space="preserve"> </w:t>
      </w:r>
      <w:bookmarkStart w:id="5" w:name="_Hlk40358050"/>
      <w:r w:rsidR="00F63949" w:rsidRPr="004B4DC0">
        <w:rPr>
          <w:rFonts w:eastAsia="Times New Roman" w:cs="Times New Roman"/>
          <w:sz w:val="26"/>
          <w:szCs w:val="26"/>
          <w:lang w:eastAsia="lv-LV"/>
        </w:rPr>
        <w:t xml:space="preserve">Personai </w:t>
      </w:r>
      <w:r w:rsidRPr="004B4DC0">
        <w:rPr>
          <w:rFonts w:eastAsia="Times New Roman" w:cs="Times New Roman"/>
          <w:sz w:val="26"/>
          <w:szCs w:val="26"/>
          <w:lang w:eastAsia="lv-LV"/>
        </w:rPr>
        <w:t xml:space="preserve">uz </w:t>
      </w:r>
      <w:r w:rsidR="00A51EF6" w:rsidRPr="004B4DC0">
        <w:rPr>
          <w:rFonts w:eastAsia="Times New Roman" w:cs="Times New Roman"/>
          <w:sz w:val="26"/>
          <w:szCs w:val="26"/>
          <w:lang w:eastAsia="lv-LV"/>
        </w:rPr>
        <w:t>piedāvājum</w:t>
      </w:r>
      <w:r w:rsidR="00990529" w:rsidRPr="004B4DC0">
        <w:rPr>
          <w:rFonts w:eastAsia="Times New Roman" w:cs="Times New Roman"/>
          <w:sz w:val="26"/>
          <w:szCs w:val="26"/>
          <w:lang w:eastAsia="lv-LV"/>
        </w:rPr>
        <w:t>a</w:t>
      </w:r>
      <w:r w:rsidR="00A51EF6" w:rsidRPr="004B4DC0">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58A718C3"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052CAEAC" w14:textId="68112852"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reģ. Nr. 90000069281, Talejas iela 1, Rīga, LV-1919, tālrunis: +371-67122689, e-pasts: </w:t>
      </w:r>
      <w:hyperlink r:id="rId14"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5"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lastRenderedPageBreak/>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1639600F" w14:textId="3226D207" w:rsidR="00937F4D" w:rsidRDefault="00937F4D" w:rsidP="00937F4D">
      <w:pPr>
        <w:jc w:val="center"/>
        <w:rPr>
          <w:rFonts w:eastAsia="Times New Roman" w:cs="Times New Roman"/>
          <w:b/>
          <w:sz w:val="28"/>
          <w:szCs w:val="28"/>
        </w:rPr>
      </w:pPr>
    </w:p>
    <w:p w14:paraId="09EF26D6" w14:textId="77777777" w:rsidR="00A61577" w:rsidRDefault="00A61577" w:rsidP="004F5FC1">
      <w:pPr>
        <w:jc w:val="center"/>
        <w:rPr>
          <w:rFonts w:cs="Times New Roman"/>
          <w:i/>
          <w:szCs w:val="24"/>
        </w:rPr>
      </w:pPr>
    </w:p>
    <w:p w14:paraId="5E092B26" w14:textId="787E8E83" w:rsidR="004F5FC1" w:rsidRDefault="002A7100" w:rsidP="002A7100">
      <w:pPr>
        <w:rPr>
          <w:rFonts w:cs="Times New Roman"/>
          <w:i/>
          <w:szCs w:val="24"/>
        </w:rPr>
      </w:pPr>
      <w:r>
        <w:rPr>
          <w:rFonts w:cs="Times New Roman"/>
          <w:i/>
          <w:szCs w:val="24"/>
        </w:rPr>
        <w:t xml:space="preserve">           </w:t>
      </w:r>
    </w:p>
    <w:p w14:paraId="64FDC331" w14:textId="5FF421D6" w:rsidR="00267D3A" w:rsidRPr="00BB1995" w:rsidRDefault="00BB1995" w:rsidP="00267D3A">
      <w:pPr>
        <w:jc w:val="center"/>
        <w:rPr>
          <w:rFonts w:eastAsia="Times New Roman" w:cs="Times New Roman"/>
          <w:b/>
          <w:sz w:val="28"/>
          <w:szCs w:val="28"/>
        </w:rPr>
      </w:pPr>
      <w:r w:rsidRPr="00BB1995">
        <w:rPr>
          <w:rFonts w:eastAsia="Calibri" w:cs="Times New Roman"/>
          <w:i/>
          <w:szCs w:val="24"/>
        </w:rPr>
        <w:t>1.attēls</w:t>
      </w:r>
      <w:r w:rsidR="00267D3A">
        <w:rPr>
          <w:rFonts w:eastAsia="Calibri" w:cs="Times New Roman"/>
          <w:i/>
          <w:szCs w:val="24"/>
        </w:rPr>
        <w:t xml:space="preserve">                                                                                  </w:t>
      </w:r>
      <w:r w:rsidR="00267D3A" w:rsidRPr="00BB1995">
        <w:rPr>
          <w:rFonts w:eastAsia="Calibri" w:cs="Times New Roman"/>
          <w:i/>
          <w:szCs w:val="24"/>
        </w:rPr>
        <w:t>2.attēls</w:t>
      </w:r>
    </w:p>
    <w:p w14:paraId="0ADF328C" w14:textId="77777777" w:rsidR="00BB1995" w:rsidRPr="00BB1995" w:rsidRDefault="00BB1995" w:rsidP="00BB1995">
      <w:pPr>
        <w:jc w:val="center"/>
        <w:rPr>
          <w:rFonts w:eastAsia="Calibri" w:cs="Times New Roman"/>
          <w:i/>
          <w:szCs w:val="24"/>
        </w:rPr>
      </w:pPr>
    </w:p>
    <w:p w14:paraId="2FA2EB12" w14:textId="2226635A" w:rsidR="00BB1995" w:rsidRPr="00BB1995" w:rsidRDefault="00267D3A" w:rsidP="00267D3A">
      <w:pPr>
        <w:rPr>
          <w:rFonts w:eastAsia="Times New Roman" w:cs="Times New Roman"/>
          <w:b/>
          <w:sz w:val="28"/>
          <w:szCs w:val="28"/>
        </w:rPr>
      </w:pPr>
      <w:r>
        <w:rPr>
          <w:noProof/>
        </w:rPr>
        <w:drawing>
          <wp:inline distT="0" distB="0" distL="0" distR="0" wp14:anchorId="79471AAA" wp14:editId="05B2B8DC">
            <wp:extent cx="2406909" cy="1952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6755" cy="1968725"/>
                    </a:xfrm>
                    <a:prstGeom prst="rect">
                      <a:avLst/>
                    </a:prstGeom>
                    <a:noFill/>
                    <a:ln>
                      <a:noFill/>
                    </a:ln>
                  </pic:spPr>
                </pic:pic>
              </a:graphicData>
            </a:graphic>
          </wp:inline>
        </w:drawing>
      </w:r>
      <w:r>
        <w:rPr>
          <w:rFonts w:eastAsia="Times New Roman" w:cs="Times New Roman"/>
          <w:b/>
          <w:sz w:val="28"/>
          <w:szCs w:val="28"/>
        </w:rPr>
        <w:t xml:space="preserve">  </w:t>
      </w:r>
      <w:r>
        <w:rPr>
          <w:noProof/>
        </w:rPr>
        <w:t xml:space="preserve">                       </w:t>
      </w:r>
      <w:r>
        <w:rPr>
          <w:noProof/>
        </w:rPr>
        <w:drawing>
          <wp:inline distT="0" distB="0" distL="0" distR="0" wp14:anchorId="6F97297C" wp14:editId="12610F5D">
            <wp:extent cx="2488759" cy="256180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588273" cy="2664240"/>
                    </a:xfrm>
                    <a:prstGeom prst="rect">
                      <a:avLst/>
                    </a:prstGeom>
                    <a:noFill/>
                    <a:ln>
                      <a:noFill/>
                    </a:ln>
                  </pic:spPr>
                </pic:pic>
              </a:graphicData>
            </a:graphic>
          </wp:inline>
        </w:drawing>
      </w:r>
    </w:p>
    <w:p w14:paraId="3D554F10" w14:textId="18B65BA9" w:rsidR="00BB1995" w:rsidRPr="00BB1995" w:rsidRDefault="00BB1995" w:rsidP="00BB1995">
      <w:pPr>
        <w:jc w:val="center"/>
        <w:rPr>
          <w:rFonts w:eastAsia="Times New Roman" w:cs="Times New Roman"/>
          <w:b/>
          <w:sz w:val="28"/>
          <w:szCs w:val="28"/>
        </w:rPr>
      </w:pPr>
    </w:p>
    <w:p w14:paraId="0E2B6DE0" w14:textId="7AC3A3CE" w:rsidR="00CE4BA0" w:rsidRDefault="00267D3A" w:rsidP="00267D3A">
      <w:pPr>
        <w:rPr>
          <w:rFonts w:cs="Times New Roman"/>
          <w:i/>
          <w:szCs w:val="24"/>
        </w:rPr>
      </w:pPr>
      <w:r>
        <w:rPr>
          <w:rFonts w:eastAsia="Calibri" w:cs="Times New Roman"/>
          <w:i/>
          <w:szCs w:val="24"/>
        </w:rPr>
        <w:t xml:space="preserve">                       </w:t>
      </w:r>
      <w:bookmarkStart w:id="11" w:name="_Hlk98158564"/>
      <w:r w:rsidR="004D4A3F">
        <w:rPr>
          <w:rFonts w:eastAsia="Calibri" w:cs="Times New Roman"/>
          <w:i/>
          <w:szCs w:val="24"/>
        </w:rPr>
        <w:t>3</w:t>
      </w:r>
      <w:r w:rsidRPr="00BB1995">
        <w:rPr>
          <w:rFonts w:eastAsia="Calibri" w:cs="Times New Roman"/>
          <w:i/>
          <w:szCs w:val="24"/>
        </w:rPr>
        <w:t>.attēls</w:t>
      </w:r>
      <w:r>
        <w:rPr>
          <w:rFonts w:eastAsia="Calibri" w:cs="Times New Roman"/>
          <w:i/>
          <w:szCs w:val="24"/>
        </w:rPr>
        <w:t xml:space="preserve"> </w:t>
      </w:r>
      <w:bookmarkEnd w:id="11"/>
      <w:r>
        <w:rPr>
          <w:rFonts w:eastAsia="Calibri" w:cs="Times New Roman"/>
          <w:i/>
          <w:szCs w:val="24"/>
        </w:rPr>
        <w:t xml:space="preserve">                                                                           </w:t>
      </w:r>
      <w:r w:rsidR="004D4A3F">
        <w:rPr>
          <w:rFonts w:eastAsia="Calibri" w:cs="Times New Roman"/>
          <w:i/>
          <w:szCs w:val="24"/>
        </w:rPr>
        <w:t>4</w:t>
      </w:r>
      <w:r w:rsidRPr="00BB1995">
        <w:rPr>
          <w:rFonts w:eastAsia="Calibri" w:cs="Times New Roman"/>
          <w:i/>
          <w:szCs w:val="24"/>
        </w:rPr>
        <w:t>.attēls</w:t>
      </w:r>
    </w:p>
    <w:p w14:paraId="29F3A1A2" w14:textId="462AE0B6" w:rsidR="00CE4BA0" w:rsidRDefault="00CE4BA0" w:rsidP="00267D3A">
      <w:pPr>
        <w:rPr>
          <w:rFonts w:cs="Times New Roman"/>
          <w:i/>
          <w:szCs w:val="24"/>
        </w:rPr>
      </w:pPr>
    </w:p>
    <w:p w14:paraId="4CBD07BB" w14:textId="4907C6EC" w:rsidR="00A61577" w:rsidRDefault="00A61577" w:rsidP="00A61577">
      <w:pPr>
        <w:jc w:val="center"/>
        <w:rPr>
          <w:rFonts w:eastAsia="Times New Roman" w:cs="Times New Roman"/>
          <w:b/>
          <w:sz w:val="28"/>
          <w:szCs w:val="28"/>
        </w:rPr>
      </w:pPr>
    </w:p>
    <w:p w14:paraId="78BCDCEA" w14:textId="6AA7503C" w:rsidR="002A7100" w:rsidRDefault="004D4A3F" w:rsidP="004D4A3F">
      <w:pPr>
        <w:jc w:val="both"/>
        <w:rPr>
          <w:rFonts w:eastAsia="Times New Roman" w:cs="Times New Roman"/>
          <w:b/>
          <w:sz w:val="28"/>
          <w:szCs w:val="28"/>
        </w:rPr>
      </w:pPr>
      <w:r>
        <w:rPr>
          <w:noProof/>
        </w:rPr>
        <w:drawing>
          <wp:inline distT="0" distB="0" distL="0" distR="0" wp14:anchorId="54D1EA97" wp14:editId="372CBE54">
            <wp:extent cx="2700831" cy="2010784"/>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17710" cy="2023350"/>
                    </a:xfrm>
                    <a:prstGeom prst="rect">
                      <a:avLst/>
                    </a:prstGeom>
                    <a:noFill/>
                    <a:ln>
                      <a:noFill/>
                    </a:ln>
                  </pic:spPr>
                </pic:pic>
              </a:graphicData>
            </a:graphic>
          </wp:inline>
        </w:drawing>
      </w:r>
      <w:r>
        <w:rPr>
          <w:rFonts w:eastAsia="Times New Roman" w:cs="Times New Roman"/>
          <w:b/>
          <w:sz w:val="28"/>
          <w:szCs w:val="28"/>
        </w:rPr>
        <w:t xml:space="preserve">  </w:t>
      </w:r>
      <w:r>
        <w:rPr>
          <w:noProof/>
        </w:rPr>
        <w:drawing>
          <wp:inline distT="0" distB="0" distL="0" distR="0" wp14:anchorId="60A2F2B1" wp14:editId="7F4F217A">
            <wp:extent cx="3138170" cy="1501594"/>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38170" cy="1501594"/>
                    </a:xfrm>
                    <a:prstGeom prst="rect">
                      <a:avLst/>
                    </a:prstGeom>
                    <a:noFill/>
                    <a:ln>
                      <a:noFill/>
                    </a:ln>
                  </pic:spPr>
                </pic:pic>
              </a:graphicData>
            </a:graphic>
          </wp:inline>
        </w:drawing>
      </w:r>
    </w:p>
    <w:p w14:paraId="04BBE11B" w14:textId="77777777" w:rsidR="00A56A40" w:rsidRDefault="00A56A40" w:rsidP="004F5FC1">
      <w:pPr>
        <w:jc w:val="center"/>
        <w:rPr>
          <w:rFonts w:eastAsia="Times New Roman" w:cs="Times New Roman"/>
          <w:b/>
          <w:sz w:val="28"/>
          <w:szCs w:val="28"/>
        </w:rPr>
      </w:pPr>
    </w:p>
    <w:p w14:paraId="58C096A2" w14:textId="77777777" w:rsidR="00CE4BA0" w:rsidRDefault="00CE4BA0" w:rsidP="004F5FC1">
      <w:pPr>
        <w:jc w:val="center"/>
        <w:rPr>
          <w:rFonts w:eastAsia="Times New Roman" w:cs="Times New Roman"/>
          <w:b/>
          <w:sz w:val="28"/>
          <w:szCs w:val="28"/>
        </w:rPr>
      </w:pPr>
    </w:p>
    <w:p w14:paraId="4318554F" w14:textId="77777777" w:rsidR="00CE4BA0" w:rsidRDefault="00CE4BA0" w:rsidP="004F5FC1">
      <w:pPr>
        <w:jc w:val="center"/>
        <w:rPr>
          <w:rFonts w:eastAsia="Times New Roman" w:cs="Times New Roman"/>
          <w:b/>
          <w:sz w:val="28"/>
          <w:szCs w:val="28"/>
        </w:rPr>
      </w:pPr>
    </w:p>
    <w:p w14:paraId="122EFFD6" w14:textId="77777777" w:rsidR="002A7100" w:rsidRDefault="002A7100" w:rsidP="004F5FC1">
      <w:pPr>
        <w:jc w:val="center"/>
        <w:rPr>
          <w:rFonts w:eastAsia="Times New Roman" w:cs="Times New Roman"/>
          <w:b/>
          <w:sz w:val="28"/>
          <w:szCs w:val="28"/>
        </w:rPr>
      </w:pPr>
    </w:p>
    <w:p w14:paraId="2AA18C0D" w14:textId="12869828" w:rsidR="002A7100" w:rsidRDefault="002A7100" w:rsidP="004F5FC1">
      <w:pPr>
        <w:jc w:val="center"/>
        <w:rPr>
          <w:rFonts w:cs="Times New Roman"/>
          <w:i/>
          <w:szCs w:val="24"/>
        </w:rPr>
      </w:pPr>
    </w:p>
    <w:p w14:paraId="5087EA4E" w14:textId="461D06BD" w:rsidR="002A7100" w:rsidRDefault="002A7100" w:rsidP="002A7100">
      <w:pPr>
        <w:rPr>
          <w:rFonts w:cs="Times New Roman"/>
          <w:i/>
          <w:szCs w:val="24"/>
        </w:rPr>
      </w:pPr>
    </w:p>
    <w:p w14:paraId="64AFC3A1" w14:textId="720E58AF" w:rsidR="004F5FC1" w:rsidRDefault="004F5FC1" w:rsidP="004F5FC1">
      <w:pPr>
        <w:jc w:val="center"/>
        <w:rPr>
          <w:rFonts w:cs="Times New Roman"/>
          <w:i/>
          <w:szCs w:val="24"/>
        </w:rPr>
      </w:pPr>
    </w:p>
    <w:p w14:paraId="2CA3DFBF" w14:textId="25CB7F4D" w:rsidR="002A7100" w:rsidRDefault="002A7100" w:rsidP="004F5FC1">
      <w:pPr>
        <w:jc w:val="center"/>
        <w:rPr>
          <w:rFonts w:cs="Times New Roman"/>
          <w:i/>
          <w:szCs w:val="24"/>
        </w:rPr>
      </w:pPr>
      <w:bookmarkStart w:id="12" w:name="_Hlk76630719"/>
    </w:p>
    <w:bookmarkEnd w:id="12"/>
    <w:p w14:paraId="0ADF6972" w14:textId="62984F09" w:rsidR="002A7100" w:rsidRDefault="002A7100" w:rsidP="002A7100">
      <w:pPr>
        <w:rPr>
          <w:rFonts w:cs="Times New Roman"/>
          <w:i/>
          <w:szCs w:val="24"/>
        </w:rPr>
      </w:pPr>
    </w:p>
    <w:p w14:paraId="3F8CEF7D" w14:textId="2B6D3394" w:rsidR="0026441B" w:rsidRDefault="0026441B" w:rsidP="002A3286">
      <w:pPr>
        <w:jc w:val="center"/>
        <w:rPr>
          <w:rFonts w:cs="Times New Roman"/>
          <w:sz w:val="20"/>
          <w:szCs w:val="20"/>
        </w:rPr>
      </w:pPr>
    </w:p>
    <w:p w14:paraId="74CBB016" w14:textId="26CAB708" w:rsidR="00125ADC" w:rsidRDefault="00125ADC" w:rsidP="0026441B">
      <w:pPr>
        <w:jc w:val="right"/>
        <w:rPr>
          <w:rFonts w:eastAsia="Times New Roman" w:cs="Times New Roman"/>
          <w:b/>
          <w:sz w:val="20"/>
          <w:szCs w:val="20"/>
          <w:lang w:eastAsia="lv-LV"/>
        </w:rPr>
      </w:pPr>
    </w:p>
    <w:p w14:paraId="50D04B44" w14:textId="77777777" w:rsidR="00EA63FA" w:rsidRDefault="00EA63FA" w:rsidP="002A7100">
      <w:pPr>
        <w:jc w:val="center"/>
        <w:rPr>
          <w:rFonts w:eastAsia="Times New Roman" w:cs="Times New Roman"/>
          <w:b/>
          <w:sz w:val="28"/>
          <w:szCs w:val="28"/>
        </w:rPr>
      </w:pPr>
    </w:p>
    <w:p w14:paraId="4439D3E0" w14:textId="581EADE6" w:rsidR="004D4A3F" w:rsidRDefault="004D4A3F" w:rsidP="009776C5">
      <w:pPr>
        <w:rPr>
          <w:rFonts w:eastAsia="Calibri" w:cs="Times New Roman"/>
          <w:i/>
          <w:szCs w:val="24"/>
        </w:rPr>
      </w:pPr>
      <w:r>
        <w:rPr>
          <w:rFonts w:eastAsia="Calibri" w:cs="Times New Roman"/>
          <w:i/>
          <w:szCs w:val="24"/>
        </w:rPr>
        <w:t xml:space="preserve">                       5</w:t>
      </w:r>
      <w:r w:rsidRPr="00BB1995">
        <w:rPr>
          <w:rFonts w:eastAsia="Calibri" w:cs="Times New Roman"/>
          <w:i/>
          <w:szCs w:val="24"/>
        </w:rPr>
        <w:t>.attēls</w:t>
      </w:r>
      <w:r>
        <w:rPr>
          <w:rFonts w:eastAsia="Calibri" w:cs="Times New Roman"/>
          <w:i/>
          <w:szCs w:val="24"/>
        </w:rPr>
        <w:t xml:space="preserve">       </w:t>
      </w:r>
    </w:p>
    <w:p w14:paraId="0C4F8D2F" w14:textId="77777777" w:rsidR="004D4A3F" w:rsidRDefault="004D4A3F" w:rsidP="009776C5">
      <w:pPr>
        <w:rPr>
          <w:rFonts w:eastAsia="Calibri" w:cs="Times New Roman"/>
          <w:i/>
          <w:szCs w:val="24"/>
        </w:rPr>
      </w:pPr>
    </w:p>
    <w:p w14:paraId="79471FED" w14:textId="70FADFFA" w:rsidR="004D4A3F" w:rsidRDefault="004D4A3F" w:rsidP="009776C5">
      <w:pPr>
        <w:rPr>
          <w:rFonts w:eastAsia="Calibri" w:cs="Times New Roman"/>
          <w:i/>
          <w:szCs w:val="24"/>
        </w:rPr>
      </w:pPr>
      <w:r>
        <w:rPr>
          <w:noProof/>
        </w:rPr>
        <w:drawing>
          <wp:inline distT="0" distB="0" distL="0" distR="0" wp14:anchorId="3604ED35" wp14:editId="5EB698F8">
            <wp:extent cx="5375082" cy="319827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7581" cy="3217612"/>
                    </a:xfrm>
                    <a:prstGeom prst="rect">
                      <a:avLst/>
                    </a:prstGeom>
                    <a:noFill/>
                    <a:ln>
                      <a:noFill/>
                    </a:ln>
                  </pic:spPr>
                </pic:pic>
              </a:graphicData>
            </a:graphic>
          </wp:inline>
        </w:drawing>
      </w:r>
    </w:p>
    <w:p w14:paraId="3610BA1C" w14:textId="1E70811F" w:rsidR="0026441B" w:rsidRDefault="004D4A3F" w:rsidP="009776C5">
      <w:pPr>
        <w:rPr>
          <w:rFonts w:cs="Times New Roman"/>
          <w:sz w:val="20"/>
          <w:szCs w:val="20"/>
        </w:rPr>
      </w:pPr>
      <w:r>
        <w:rPr>
          <w:rFonts w:eastAsia="Calibri" w:cs="Times New Roman"/>
          <w:i/>
          <w:szCs w:val="24"/>
        </w:rPr>
        <w:t xml:space="preserve">                                                                           </w:t>
      </w:r>
    </w:p>
    <w:sectPr w:rsidR="0026441B" w:rsidSect="00BA7ACE">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C7E83" w14:textId="77777777" w:rsidR="00193F91" w:rsidRDefault="00193F91" w:rsidP="00183526">
      <w:r>
        <w:separator/>
      </w:r>
    </w:p>
  </w:endnote>
  <w:endnote w:type="continuationSeparator" w:id="0">
    <w:p w14:paraId="5FB3B9F3" w14:textId="77777777" w:rsidR="00193F91" w:rsidRDefault="00193F91" w:rsidP="00183526">
      <w:r>
        <w:continuationSeparator/>
      </w:r>
    </w:p>
  </w:endnote>
  <w:endnote w:type="continuationNotice" w:id="1">
    <w:p w14:paraId="2783BCC7" w14:textId="77777777" w:rsidR="00193F91" w:rsidRDefault="00193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A3D23" w14:textId="77777777" w:rsidR="00193F91" w:rsidRDefault="00193F91" w:rsidP="00183526">
      <w:r>
        <w:separator/>
      </w:r>
    </w:p>
  </w:footnote>
  <w:footnote w:type="continuationSeparator" w:id="0">
    <w:p w14:paraId="13C2DEB9" w14:textId="77777777" w:rsidR="00193F91" w:rsidRDefault="00193F91" w:rsidP="00183526">
      <w:r>
        <w:continuationSeparator/>
      </w:r>
    </w:p>
  </w:footnote>
  <w:footnote w:type="continuationNotice" w:id="1">
    <w:p w14:paraId="7F487846" w14:textId="77777777" w:rsidR="00193F91" w:rsidRDefault="00193F91"/>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1893"/>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470D"/>
    <w:rsid w:val="0018563A"/>
    <w:rsid w:val="00186C7E"/>
    <w:rsid w:val="00186E94"/>
    <w:rsid w:val="00192030"/>
    <w:rsid w:val="0019250D"/>
    <w:rsid w:val="001928A3"/>
    <w:rsid w:val="00193220"/>
    <w:rsid w:val="00193F91"/>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67D3A"/>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552BE"/>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48A2"/>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4DC0"/>
    <w:rsid w:val="004B501C"/>
    <w:rsid w:val="004B67A8"/>
    <w:rsid w:val="004C4561"/>
    <w:rsid w:val="004D27CA"/>
    <w:rsid w:val="004D2AC6"/>
    <w:rsid w:val="004D2CB9"/>
    <w:rsid w:val="004D301A"/>
    <w:rsid w:val="004D4A3F"/>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5F41BE"/>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05E5"/>
    <w:rsid w:val="00683E8C"/>
    <w:rsid w:val="00683F78"/>
    <w:rsid w:val="0068672D"/>
    <w:rsid w:val="00692C32"/>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5B8E"/>
    <w:rsid w:val="007C69AE"/>
    <w:rsid w:val="007C760F"/>
    <w:rsid w:val="007D1803"/>
    <w:rsid w:val="007D2A2A"/>
    <w:rsid w:val="007D3FB1"/>
    <w:rsid w:val="007D65D4"/>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274D9"/>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316"/>
    <w:rsid w:val="00990529"/>
    <w:rsid w:val="009905FC"/>
    <w:rsid w:val="00994B84"/>
    <w:rsid w:val="00995391"/>
    <w:rsid w:val="009955D0"/>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1B9E"/>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5D21"/>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232"/>
    <w:rsid w:val="00E53613"/>
    <w:rsid w:val="00E543EB"/>
    <w:rsid w:val="00E54612"/>
    <w:rsid w:val="00E56113"/>
    <w:rsid w:val="00E61101"/>
    <w:rsid w:val="00E62FC6"/>
    <w:rsid w:val="00E67C4D"/>
    <w:rsid w:val="00E72D8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1"/>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38C064A-E668-4A1E-9F9B-FF7E7275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5130</Words>
  <Characters>2925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5</cp:revision>
  <dcterms:created xsi:type="dcterms:W3CDTF">2022-03-22T12:57:00Z</dcterms:created>
  <dcterms:modified xsi:type="dcterms:W3CDTF">2022-03-24T07:28:00Z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