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58AF403"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bookmarkStart w:id="1" w:name="_Hlk228273513"/>
      <w:r w:rsidR="00B2347C" w:rsidRPr="00B2347C">
        <w:rPr>
          <w:rFonts w:eastAsia="Times New Roman" w:cs="Times New Roman"/>
          <w:b/>
          <w:szCs w:val="24"/>
        </w:rPr>
        <w:t>Silenes un Vientuļu MKP kravu kontroles rentgena iekārtu demontāža</w:t>
      </w:r>
      <w:bookmarkEnd w:id="1"/>
      <w:r w:rsidRPr="00326F16">
        <w:rPr>
          <w:rFonts w:eastAsia="Times New Roman" w:cs="Times New Roman"/>
          <w:b/>
          <w:szCs w:val="24"/>
        </w:rPr>
        <w:t>”</w:t>
      </w:r>
    </w:p>
    <w:p w14:paraId="74304135" w14:textId="4FDB51EA"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B2347C">
        <w:rPr>
          <w:rFonts w:eastAsia="Times New Roman" w:cs="Times New Roman"/>
          <w:b/>
          <w:szCs w:val="24"/>
        </w:rPr>
        <w:t>6</w:t>
      </w:r>
      <w:r w:rsidR="00B2347C" w:rsidRPr="00326F16">
        <w:rPr>
          <w:rFonts w:eastAsia="Times New Roman" w:cs="Times New Roman"/>
          <w:b/>
          <w:szCs w:val="24"/>
        </w:rPr>
        <w:t>/</w:t>
      </w:r>
      <w:r w:rsidR="00B2347C">
        <w:rPr>
          <w:rFonts w:eastAsia="Times New Roman" w:cs="Times New Roman"/>
          <w:b/>
          <w:szCs w:val="24"/>
        </w:rPr>
        <w:t>123</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23E3EFCB"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B2347C" w:rsidRPr="00B2347C">
        <w:rPr>
          <w:szCs w:val="24"/>
        </w:rPr>
        <w:t>Silenes un Vientuļu MKP kravu kontroles rentgena iekārtu demontāža</w:t>
      </w:r>
      <w:r w:rsidRPr="00086A7A">
        <w:rPr>
          <w:szCs w:val="24"/>
        </w:rPr>
        <w:t>”, ID Nr.FM VID 20</w:t>
      </w:r>
      <w:r w:rsidR="008F6E9C" w:rsidRPr="00086A7A">
        <w:rPr>
          <w:szCs w:val="24"/>
        </w:rPr>
        <w:t>2</w:t>
      </w:r>
      <w:r w:rsidR="00B2347C">
        <w:rPr>
          <w:szCs w:val="24"/>
        </w:rPr>
        <w:t>6</w:t>
      </w:r>
      <w:r w:rsidR="00B2347C" w:rsidRPr="00086A7A">
        <w:rPr>
          <w:szCs w:val="24"/>
        </w:rPr>
        <w:t>/</w:t>
      </w:r>
      <w:r w:rsidR="00B2347C">
        <w:rPr>
          <w:szCs w:val="24"/>
        </w:rPr>
        <w:t xml:space="preserve">123 </w:t>
      </w:r>
      <w:r w:rsidRPr="00086A7A">
        <w:rPr>
          <w:szCs w:val="24"/>
        </w:rPr>
        <w:t>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9"/>
        <w:gridCol w:w="6060"/>
        <w:gridCol w:w="2379"/>
      </w:tblGrid>
      <w:tr w:rsidR="00E86B03" w:rsidRPr="00326F16" w14:paraId="592DCC3C" w14:textId="77777777" w:rsidTr="002B4268">
        <w:trPr>
          <w:trHeight w:val="123"/>
          <w:tblHeader/>
        </w:trPr>
        <w:tc>
          <w:tcPr>
            <w:tcW w:w="590"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167"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43"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2B4268">
        <w:trPr>
          <w:trHeight w:val="234"/>
        </w:trPr>
        <w:tc>
          <w:tcPr>
            <w:tcW w:w="5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410"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2B4268">
        <w:trPr>
          <w:trHeight w:val="234"/>
        </w:trPr>
        <w:tc>
          <w:tcPr>
            <w:tcW w:w="590"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410" w:type="pct"/>
            <w:gridSpan w:val="2"/>
            <w:tcBorders>
              <w:top w:val="single" w:sz="4" w:space="0" w:color="auto"/>
              <w:left w:val="single" w:sz="4" w:space="0" w:color="auto"/>
              <w:bottom w:val="single" w:sz="4" w:space="0" w:color="auto"/>
            </w:tcBorders>
          </w:tcPr>
          <w:p w14:paraId="258818D3" w14:textId="464F09AC" w:rsidR="000D2092" w:rsidRDefault="003849DD" w:rsidP="00203DFB">
            <w:pPr>
              <w:ind w:left="135" w:right="145"/>
              <w:jc w:val="both"/>
              <w:rPr>
                <w:rFonts w:eastAsia="Times New Roman" w:cs="Times New Roman"/>
                <w:bCs/>
                <w:szCs w:val="24"/>
                <w:lang w:eastAsia="lv-LV"/>
              </w:rPr>
            </w:pPr>
            <w:r w:rsidRPr="003849DD">
              <w:rPr>
                <w:rFonts w:eastAsia="Times New Roman" w:cs="Times New Roman"/>
                <w:bCs/>
                <w:szCs w:val="24"/>
                <w:lang w:eastAsia="lv-LV"/>
              </w:rPr>
              <w:t xml:space="preserve">Valsts ieņēmumu dienesta (turpmāk – VID) rīcībā esošo </w:t>
            </w:r>
            <w:r>
              <w:rPr>
                <w:rFonts w:eastAsia="Times New Roman" w:cs="Times New Roman"/>
                <w:bCs/>
                <w:szCs w:val="24"/>
                <w:lang w:eastAsia="lv-LV"/>
              </w:rPr>
              <w:t>k</w:t>
            </w:r>
            <w:r w:rsidR="00545565" w:rsidRPr="00545565">
              <w:rPr>
                <w:rFonts w:eastAsia="Times New Roman" w:cs="Times New Roman"/>
                <w:bCs/>
                <w:szCs w:val="24"/>
                <w:lang w:eastAsia="lv-LV"/>
              </w:rPr>
              <w:t xml:space="preserve">ravu kontroles rentgena iekārtu </w:t>
            </w:r>
            <w:r w:rsidR="00545565">
              <w:t xml:space="preserve"> </w:t>
            </w:r>
            <w:r w:rsidR="00545565" w:rsidRPr="00545565">
              <w:rPr>
                <w:rFonts w:eastAsia="Times New Roman" w:cs="Times New Roman"/>
                <w:bCs/>
                <w:szCs w:val="24"/>
                <w:lang w:eastAsia="lv-LV"/>
              </w:rPr>
              <w:t>Silenes un Vientuļu MKP demontāža</w:t>
            </w:r>
            <w:r w:rsidR="00A10C19">
              <w:rPr>
                <w:rFonts w:eastAsia="Times New Roman" w:cs="Times New Roman"/>
                <w:bCs/>
                <w:szCs w:val="24"/>
                <w:lang w:eastAsia="lv-LV"/>
              </w:rPr>
              <w:t>.</w:t>
            </w:r>
          </w:p>
          <w:p w14:paraId="265EEC71" w14:textId="0A63ED35" w:rsidR="00A10C19" w:rsidRDefault="00A10C19" w:rsidP="00203DFB">
            <w:pPr>
              <w:ind w:left="135" w:right="145"/>
              <w:jc w:val="both"/>
              <w:rPr>
                <w:rFonts w:eastAsia="Times New Roman" w:cs="Times New Roman"/>
                <w:bCs/>
                <w:szCs w:val="24"/>
                <w:lang w:eastAsia="lv-LV"/>
              </w:rPr>
            </w:pPr>
            <w:r w:rsidRPr="00A10C19">
              <w:rPr>
                <w:rFonts w:eastAsia="Times New Roman" w:cs="Times New Roman"/>
                <w:bCs/>
                <w:szCs w:val="24"/>
                <w:lang w:eastAsia="lv-LV"/>
              </w:rPr>
              <w:t xml:space="preserve">Iekārtu atrašanās </w:t>
            </w:r>
            <w:r>
              <w:rPr>
                <w:rFonts w:eastAsia="Times New Roman" w:cs="Times New Roman"/>
                <w:bCs/>
                <w:szCs w:val="24"/>
                <w:lang w:eastAsia="lv-LV"/>
              </w:rPr>
              <w:t xml:space="preserve"> un demontāžas </w:t>
            </w:r>
            <w:r w:rsidRPr="00A10C19">
              <w:rPr>
                <w:rFonts w:eastAsia="Times New Roman" w:cs="Times New Roman"/>
                <w:bCs/>
                <w:szCs w:val="24"/>
                <w:lang w:eastAsia="lv-LV"/>
              </w:rPr>
              <w:t>vietas:</w:t>
            </w:r>
          </w:p>
          <w:p w14:paraId="09AEF4DC" w14:textId="29DA3966" w:rsidR="00A10C19" w:rsidRDefault="00A10C19" w:rsidP="002B4268">
            <w:pPr>
              <w:pStyle w:val="ListParagraph"/>
              <w:numPr>
                <w:ilvl w:val="0"/>
                <w:numId w:val="61"/>
              </w:numPr>
              <w:ind w:left="0" w:right="145" w:firstLine="361"/>
              <w:jc w:val="both"/>
              <w:rPr>
                <w:rFonts w:eastAsia="Times New Roman" w:cs="Times New Roman"/>
                <w:szCs w:val="24"/>
              </w:rPr>
            </w:pPr>
            <w:r w:rsidRPr="002B4268">
              <w:rPr>
                <w:rFonts w:eastAsia="Times New Roman" w:cs="Times New Roman"/>
                <w:bCs/>
                <w:szCs w:val="24"/>
                <w:lang w:eastAsia="lv-LV"/>
              </w:rPr>
              <w:t xml:space="preserve">Pārvietojamā kravu un  transportlīdzekļu kontroles sistēma (tiek izmantota stacionāri), (ar lineāro paātrinātāju) </w:t>
            </w:r>
            <w:r w:rsidRPr="002B4268">
              <w:rPr>
                <w:rFonts w:eastAsia="Times New Roman" w:cs="Times New Roman"/>
                <w:b/>
                <w:i/>
                <w:iCs/>
                <w:szCs w:val="24"/>
                <w:lang w:eastAsia="lv-LV"/>
              </w:rPr>
              <w:t>MB 1215LC sērijas Nr. TFNWS032 BT 10644, 2014.gads</w:t>
            </w:r>
            <w:r w:rsidRPr="002B4268">
              <w:rPr>
                <w:rFonts w:eastAsia="Times New Roman" w:cs="Times New Roman"/>
                <w:bCs/>
                <w:szCs w:val="24"/>
                <w:lang w:eastAsia="lv-LV"/>
              </w:rPr>
              <w:t xml:space="preserve">- </w:t>
            </w:r>
            <w:r w:rsidRPr="002B4268">
              <w:rPr>
                <w:rFonts w:eastAsia="Times New Roman" w:cs="Times New Roman"/>
                <w:szCs w:val="24"/>
              </w:rPr>
              <w:t xml:space="preserve"> Silenes MKP, Silene, Skrudalienas pagasts, Augšdaugavas novads, LV-5470</w:t>
            </w:r>
            <w:r>
              <w:rPr>
                <w:rFonts w:eastAsia="Times New Roman" w:cs="Times New Roman"/>
                <w:szCs w:val="24"/>
              </w:rPr>
              <w:t>;</w:t>
            </w:r>
          </w:p>
          <w:p w14:paraId="271CBC5C" w14:textId="77777777" w:rsidR="00A10C19" w:rsidRPr="002B4268" w:rsidRDefault="00A10C19" w:rsidP="002B4268">
            <w:pPr>
              <w:ind w:right="145" w:firstLine="361"/>
              <w:jc w:val="both"/>
              <w:rPr>
                <w:rFonts w:eastAsia="Times New Roman" w:cs="Times New Roman"/>
                <w:szCs w:val="24"/>
              </w:rPr>
            </w:pPr>
          </w:p>
          <w:p w14:paraId="7D777384" w14:textId="1B68F4A7" w:rsidR="00545565" w:rsidRPr="00326F16" w:rsidRDefault="00A10C19" w:rsidP="002B4268">
            <w:pPr>
              <w:pStyle w:val="ListParagraph"/>
              <w:numPr>
                <w:ilvl w:val="0"/>
                <w:numId w:val="61"/>
              </w:numPr>
              <w:ind w:left="0" w:right="145" w:firstLine="361"/>
              <w:jc w:val="both"/>
              <w:rPr>
                <w:rFonts w:eastAsia="Times New Roman" w:cs="Times New Roman"/>
                <w:bCs/>
                <w:szCs w:val="24"/>
                <w:lang w:eastAsia="lv-LV"/>
              </w:rPr>
            </w:pPr>
            <w:r w:rsidRPr="00A10C19">
              <w:rPr>
                <w:rFonts w:eastAsia="Times New Roman" w:cs="Times New Roman"/>
                <w:bCs/>
                <w:szCs w:val="24"/>
                <w:lang w:eastAsia="lv-LV"/>
              </w:rPr>
              <w:t xml:space="preserve">Pārvietojamā kravu un  transportlīdzekļu kontroles sistēma (tiek izmantota stacionāri), (ar lineāro paātrinātāju) </w:t>
            </w:r>
            <w:r w:rsidRPr="002B4268">
              <w:rPr>
                <w:rFonts w:eastAsia="Times New Roman" w:cs="Times New Roman"/>
                <w:b/>
                <w:i/>
                <w:iCs/>
                <w:szCs w:val="24"/>
                <w:lang w:eastAsia="lv-LV"/>
              </w:rPr>
              <w:t>MB1215LC sērijas Nr. TFN PL1 16005 BT-I-10947, 2016.gads</w:t>
            </w:r>
            <w:r w:rsidRPr="00A10C19">
              <w:rPr>
                <w:rFonts w:eastAsia="Times New Roman" w:cs="Times New Roman"/>
                <w:bCs/>
                <w:szCs w:val="24"/>
                <w:lang w:eastAsia="lv-LV"/>
              </w:rPr>
              <w:t xml:space="preserve">- </w:t>
            </w:r>
            <w:r>
              <w:t xml:space="preserve"> </w:t>
            </w:r>
            <w:r w:rsidRPr="00A10C19">
              <w:rPr>
                <w:rFonts w:eastAsia="Times New Roman" w:cs="Times New Roman"/>
                <w:bCs/>
                <w:szCs w:val="24"/>
                <w:lang w:eastAsia="lv-LV"/>
              </w:rPr>
              <w:t>Vientuļu MKP, Vientuļi, Vecumu pagasts, Balvu novads, LV-4583</w:t>
            </w:r>
          </w:p>
        </w:tc>
      </w:tr>
      <w:tr w:rsidR="00E86B03" w:rsidRPr="00326F16" w14:paraId="4AE631B0" w14:textId="77777777" w:rsidTr="002B4268">
        <w:trPr>
          <w:trHeight w:val="234"/>
        </w:trPr>
        <w:tc>
          <w:tcPr>
            <w:tcW w:w="5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410"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74F0FFCF" w:rsidR="00E86B03" w:rsidRPr="00005E79" w:rsidRDefault="00005E79" w:rsidP="00E1001A">
            <w:pPr>
              <w:jc w:val="center"/>
              <w:rPr>
                <w:rFonts w:eastAsia="Times New Roman" w:cs="Times New Roman"/>
                <w:b/>
                <w:i/>
                <w:szCs w:val="24"/>
                <w:lang w:eastAsia="lv-LV"/>
              </w:rPr>
            </w:pPr>
            <w:r w:rsidRPr="00005E79">
              <w:rPr>
                <w:rFonts w:cs="Times New Roman"/>
                <w:b/>
                <w:i/>
                <w:szCs w:val="24"/>
              </w:rPr>
              <w:t>Pakalpojuma nodrošināšana</w:t>
            </w:r>
          </w:p>
        </w:tc>
      </w:tr>
      <w:tr w:rsidR="00545565" w:rsidRPr="00326F16" w14:paraId="0B875FA1" w14:textId="77777777" w:rsidTr="002B4268">
        <w:trPr>
          <w:trHeight w:val="310"/>
        </w:trPr>
        <w:tc>
          <w:tcPr>
            <w:tcW w:w="590" w:type="pct"/>
            <w:tcBorders>
              <w:top w:val="single" w:sz="4" w:space="0" w:color="auto"/>
            </w:tcBorders>
            <w:vAlign w:val="center"/>
          </w:tcPr>
          <w:p w14:paraId="0F82F2A6" w14:textId="247E790C" w:rsidR="00545565" w:rsidRPr="000A2CBB" w:rsidRDefault="00545565" w:rsidP="000A2CBB">
            <w:pPr>
              <w:jc w:val="center"/>
              <w:rPr>
                <w:rFonts w:eastAsia="Times New Roman" w:cs="Times New Roman"/>
                <w:bCs/>
                <w:szCs w:val="24"/>
                <w:lang w:eastAsia="lv-LV"/>
              </w:rPr>
            </w:pPr>
            <w:r w:rsidRPr="000A2CBB">
              <w:rPr>
                <w:rFonts w:eastAsia="Times New Roman" w:cs="Times New Roman"/>
                <w:bCs/>
                <w:szCs w:val="24"/>
                <w:lang w:eastAsia="lv-LV"/>
              </w:rPr>
              <w:lastRenderedPageBreak/>
              <w:t>2.1.</w:t>
            </w:r>
          </w:p>
        </w:tc>
        <w:tc>
          <w:tcPr>
            <w:tcW w:w="3167" w:type="pct"/>
            <w:tcBorders>
              <w:top w:val="single" w:sz="4" w:space="0" w:color="auto"/>
            </w:tcBorders>
          </w:tcPr>
          <w:p w14:paraId="5B62C1E3" w14:textId="77777777" w:rsidR="00545565" w:rsidRPr="003B41C8" w:rsidRDefault="00545565" w:rsidP="00545565">
            <w:pPr>
              <w:jc w:val="both"/>
              <w:rPr>
                <w:rFonts w:cs="Times New Roman"/>
                <w:b/>
                <w:szCs w:val="24"/>
                <w:lang w:eastAsia="lv-LV"/>
              </w:rPr>
            </w:pPr>
            <w:r w:rsidRPr="003B41C8">
              <w:rPr>
                <w:rFonts w:cs="Times New Roman"/>
                <w:spacing w:val="-7"/>
                <w:szCs w:val="24"/>
              </w:rPr>
              <w:t xml:space="preserve">Izpildītājs veic attiecīgās iekārtas </w:t>
            </w:r>
            <w:r>
              <w:rPr>
                <w:rFonts w:cs="Times New Roman"/>
                <w:spacing w:val="-7"/>
                <w:szCs w:val="24"/>
              </w:rPr>
              <w:t>demontāžu un bīstamo</w:t>
            </w:r>
            <w:r w:rsidRPr="00412184">
              <w:rPr>
                <w:rFonts w:cs="Times New Roman"/>
                <w:spacing w:val="-7"/>
                <w:szCs w:val="24"/>
              </w:rPr>
              <w:t xml:space="preserve"> šķidrumu un gāzu nodošan</w:t>
            </w:r>
            <w:r>
              <w:rPr>
                <w:rFonts w:cs="Times New Roman"/>
                <w:spacing w:val="-7"/>
                <w:szCs w:val="24"/>
              </w:rPr>
              <w:t>u</w:t>
            </w:r>
            <w:r w:rsidRPr="00412184">
              <w:rPr>
                <w:rFonts w:cs="Times New Roman"/>
                <w:spacing w:val="-7"/>
                <w:szCs w:val="24"/>
              </w:rPr>
              <w:t xml:space="preserve"> licencētam atkritumu </w:t>
            </w:r>
            <w:proofErr w:type="spellStart"/>
            <w:r w:rsidRPr="00412184">
              <w:rPr>
                <w:rFonts w:cs="Times New Roman"/>
                <w:spacing w:val="-7"/>
                <w:szCs w:val="24"/>
              </w:rPr>
              <w:t>apsaimniekotājam</w:t>
            </w:r>
            <w:proofErr w:type="spellEnd"/>
            <w:r>
              <w:rPr>
                <w:rFonts w:cs="Times New Roman"/>
                <w:spacing w:val="-7"/>
                <w:szCs w:val="24"/>
              </w:rPr>
              <w:t xml:space="preserve"> termiņā</w:t>
            </w:r>
            <w:r w:rsidRPr="003B41C8">
              <w:rPr>
                <w:rFonts w:cs="Times New Roman"/>
                <w:spacing w:val="-7"/>
                <w:szCs w:val="24"/>
              </w:rPr>
              <w:t>, kuru</w:t>
            </w:r>
            <w:r>
              <w:rPr>
                <w:rFonts w:cs="Times New Roman"/>
                <w:spacing w:val="-7"/>
                <w:szCs w:val="24"/>
              </w:rPr>
              <w:t>s</w:t>
            </w:r>
            <w:r w:rsidRPr="003B41C8">
              <w:rPr>
                <w:rFonts w:cs="Times New Roman"/>
                <w:spacing w:val="-7"/>
                <w:szCs w:val="24"/>
              </w:rPr>
              <w:t xml:space="preserve"> pasūtītāja pilnvarotā persona un izpildītāja pilnvarotā persona ir savstarpēji elektroniski saskaņojušas, norādot datumu, līdz kuram attiecīgās iekārtas </w:t>
            </w:r>
            <w:r w:rsidRPr="005E0B21">
              <w:rPr>
                <w:rFonts w:cs="Times New Roman"/>
                <w:spacing w:val="-7"/>
                <w:szCs w:val="24"/>
              </w:rPr>
              <w:t xml:space="preserve">demontāžas </w:t>
            </w:r>
            <w:r w:rsidRPr="003B41C8">
              <w:rPr>
                <w:rFonts w:cs="Times New Roman"/>
                <w:spacing w:val="-7"/>
                <w:szCs w:val="24"/>
              </w:rPr>
              <w:t>pakalpojums ir jāizpilda un tā izpilde jāapliecina</w:t>
            </w:r>
            <w:r>
              <w:rPr>
                <w:rFonts w:cs="Times New Roman"/>
                <w:spacing w:val="-7"/>
                <w:szCs w:val="24"/>
              </w:rPr>
              <w:t>,</w:t>
            </w:r>
            <w:r w:rsidRPr="003B41C8">
              <w:rPr>
                <w:rFonts w:cs="Times New Roman"/>
                <w:spacing w:val="-7"/>
                <w:szCs w:val="24"/>
              </w:rPr>
              <w:t xml:space="preserve"> parakstot pakalpojuma nodošanas-pieņemšanas aktu</w:t>
            </w:r>
            <w:r w:rsidRPr="003B41C8">
              <w:rPr>
                <w:rFonts w:cs="Times New Roman"/>
                <w:bCs/>
                <w:szCs w:val="24"/>
              </w:rPr>
              <w:t>.</w:t>
            </w:r>
          </w:p>
          <w:p w14:paraId="2DA38008" w14:textId="77777777" w:rsidR="00545565" w:rsidRDefault="00545565" w:rsidP="00E1001A">
            <w:pPr>
              <w:tabs>
                <w:tab w:val="left" w:pos="1108"/>
              </w:tabs>
              <w:ind w:left="135" w:right="83"/>
              <w:jc w:val="both"/>
              <w:rPr>
                <w:rFonts w:eastAsia="Times New Roman" w:cs="Times New Roman"/>
                <w:szCs w:val="24"/>
                <w:lang w:eastAsia="lv-LV"/>
              </w:rPr>
            </w:pPr>
          </w:p>
        </w:tc>
        <w:tc>
          <w:tcPr>
            <w:tcW w:w="1243" w:type="pct"/>
          </w:tcPr>
          <w:p w14:paraId="74736F72" w14:textId="77777777" w:rsidR="00545565" w:rsidRPr="00326F16" w:rsidRDefault="00545565" w:rsidP="006335A4">
            <w:pPr>
              <w:ind w:right="126"/>
              <w:jc w:val="both"/>
              <w:rPr>
                <w:rFonts w:eastAsia="Times New Roman" w:cs="Times New Roman"/>
                <w:szCs w:val="24"/>
                <w:lang w:eastAsia="lv-LV"/>
              </w:rPr>
            </w:pPr>
          </w:p>
        </w:tc>
      </w:tr>
      <w:tr w:rsidR="00067127" w:rsidRPr="00326F16" w14:paraId="05FF845F" w14:textId="77777777" w:rsidTr="002B4268">
        <w:trPr>
          <w:trHeight w:val="310"/>
        </w:trPr>
        <w:tc>
          <w:tcPr>
            <w:tcW w:w="590" w:type="pct"/>
            <w:tcBorders>
              <w:top w:val="single" w:sz="4" w:space="0" w:color="auto"/>
            </w:tcBorders>
          </w:tcPr>
          <w:p w14:paraId="3AD9913C" w14:textId="5292F9D2" w:rsidR="00067127" w:rsidRPr="000A2CBB" w:rsidRDefault="00067127" w:rsidP="00067127">
            <w:pPr>
              <w:jc w:val="center"/>
              <w:rPr>
                <w:rFonts w:eastAsia="Times New Roman" w:cs="Times New Roman"/>
                <w:bCs/>
                <w:szCs w:val="24"/>
                <w:lang w:eastAsia="lv-LV"/>
              </w:rPr>
            </w:pPr>
            <w:r>
              <w:rPr>
                <w:rFonts w:eastAsia="Times New Roman" w:cs="Times New Roman"/>
                <w:bCs/>
                <w:szCs w:val="24"/>
                <w:lang w:eastAsia="lv-LV"/>
              </w:rPr>
              <w:t>2.2.</w:t>
            </w:r>
          </w:p>
        </w:tc>
        <w:tc>
          <w:tcPr>
            <w:tcW w:w="3167" w:type="pct"/>
            <w:tcBorders>
              <w:top w:val="single" w:sz="4" w:space="0" w:color="auto"/>
            </w:tcBorders>
          </w:tcPr>
          <w:p w14:paraId="47A582EA" w14:textId="62807C18" w:rsidR="00067127" w:rsidRPr="003B41C8" w:rsidRDefault="00A10C19" w:rsidP="00067127">
            <w:pPr>
              <w:jc w:val="both"/>
              <w:rPr>
                <w:rFonts w:cs="Times New Roman"/>
                <w:bCs/>
                <w:kern w:val="32"/>
                <w:szCs w:val="24"/>
              </w:rPr>
            </w:pPr>
            <w:r>
              <w:rPr>
                <w:rFonts w:cs="Times New Roman"/>
                <w:bCs/>
                <w:kern w:val="32"/>
                <w:szCs w:val="24"/>
              </w:rPr>
              <w:t>Izpildītājs nodrošina  pakalpojuma i</w:t>
            </w:r>
            <w:r w:rsidR="00067127">
              <w:rPr>
                <w:rFonts w:cs="Times New Roman"/>
                <w:bCs/>
                <w:kern w:val="32"/>
                <w:szCs w:val="24"/>
              </w:rPr>
              <w:t>zpildes termiņ</w:t>
            </w:r>
            <w:r>
              <w:rPr>
                <w:rFonts w:cs="Times New Roman"/>
                <w:bCs/>
                <w:kern w:val="32"/>
                <w:szCs w:val="24"/>
              </w:rPr>
              <w:t>u</w:t>
            </w:r>
            <w:r w:rsidR="00067127">
              <w:rPr>
                <w:rFonts w:cs="Times New Roman"/>
                <w:bCs/>
                <w:kern w:val="32"/>
                <w:szCs w:val="24"/>
              </w:rPr>
              <w:t xml:space="preserve">  ne </w:t>
            </w:r>
            <w:r>
              <w:rPr>
                <w:rFonts w:cs="Times New Roman"/>
                <w:bCs/>
                <w:kern w:val="32"/>
                <w:szCs w:val="24"/>
              </w:rPr>
              <w:t xml:space="preserve">ilgāku </w:t>
            </w:r>
            <w:r w:rsidR="00067127">
              <w:rPr>
                <w:rFonts w:cs="Times New Roman"/>
                <w:bCs/>
                <w:kern w:val="32"/>
                <w:szCs w:val="24"/>
              </w:rPr>
              <w:t xml:space="preserve"> kā 20 </w:t>
            </w:r>
            <w:r>
              <w:rPr>
                <w:rFonts w:cs="Times New Roman"/>
                <w:bCs/>
                <w:kern w:val="32"/>
                <w:szCs w:val="24"/>
              </w:rPr>
              <w:t xml:space="preserve">(divdesmit) </w:t>
            </w:r>
            <w:r w:rsidR="00067127">
              <w:rPr>
                <w:rFonts w:cs="Times New Roman"/>
                <w:bCs/>
                <w:kern w:val="32"/>
                <w:szCs w:val="24"/>
              </w:rPr>
              <w:t xml:space="preserve">darba dienas </w:t>
            </w:r>
          </w:p>
        </w:tc>
        <w:tc>
          <w:tcPr>
            <w:tcW w:w="1243" w:type="pct"/>
          </w:tcPr>
          <w:p w14:paraId="339C15DD" w14:textId="4BB6D888" w:rsidR="00067127" w:rsidRPr="002B4268" w:rsidRDefault="00A10C19" w:rsidP="00067127">
            <w:pPr>
              <w:ind w:right="126"/>
              <w:jc w:val="both"/>
              <w:rPr>
                <w:rFonts w:eastAsia="Times New Roman" w:cs="Times New Roman"/>
                <w:i/>
                <w:iCs/>
                <w:szCs w:val="24"/>
                <w:lang w:eastAsia="lv-LV"/>
              </w:rPr>
            </w:pPr>
            <w:r w:rsidRPr="002B4268">
              <w:rPr>
                <w:rFonts w:eastAsia="Times New Roman" w:cs="Times New Roman"/>
                <w:i/>
                <w:iCs/>
                <w:szCs w:val="24"/>
                <w:lang w:eastAsia="lv-LV"/>
              </w:rPr>
              <w:t xml:space="preserve">Izpildītājs </w:t>
            </w:r>
            <w:r w:rsidR="00067127" w:rsidRPr="002B4268">
              <w:rPr>
                <w:rFonts w:eastAsia="Times New Roman" w:cs="Times New Roman"/>
                <w:i/>
                <w:iCs/>
                <w:szCs w:val="24"/>
                <w:lang w:eastAsia="lv-LV"/>
              </w:rPr>
              <w:t xml:space="preserve"> norāda</w:t>
            </w:r>
            <w:r>
              <w:rPr>
                <w:rFonts w:eastAsia="Times New Roman" w:cs="Times New Roman"/>
                <w:i/>
                <w:iCs/>
                <w:szCs w:val="24"/>
                <w:lang w:eastAsia="lv-LV"/>
              </w:rPr>
              <w:t xml:space="preserve"> pakalpojuma </w:t>
            </w:r>
            <w:r w:rsidR="00067127" w:rsidRPr="002B4268">
              <w:rPr>
                <w:rFonts w:eastAsia="Times New Roman" w:cs="Times New Roman"/>
                <w:i/>
                <w:iCs/>
                <w:szCs w:val="24"/>
                <w:lang w:eastAsia="lv-LV"/>
              </w:rPr>
              <w:t xml:space="preserve">  izpildes termiņu darba dienās</w:t>
            </w:r>
            <w:r w:rsidRPr="002B4268">
              <w:rPr>
                <w:rFonts w:eastAsia="Times New Roman" w:cs="Times New Roman"/>
                <w:i/>
                <w:iCs/>
                <w:szCs w:val="24"/>
                <w:lang w:eastAsia="lv-LV"/>
              </w:rPr>
              <w:t>……..</w:t>
            </w:r>
          </w:p>
        </w:tc>
      </w:tr>
      <w:tr w:rsidR="00240842" w:rsidRPr="00326F16" w14:paraId="0F939C17" w14:textId="77777777" w:rsidTr="002B4268">
        <w:trPr>
          <w:trHeight w:val="301"/>
        </w:trPr>
        <w:tc>
          <w:tcPr>
            <w:tcW w:w="590"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410" w:type="pct"/>
            <w:gridSpan w:val="2"/>
            <w:tcBorders>
              <w:top w:val="single" w:sz="4" w:space="0" w:color="auto"/>
            </w:tcBorders>
            <w:shd w:val="clear" w:color="auto" w:fill="D9D9D9" w:themeFill="background1" w:themeFillShade="D9"/>
            <w:vAlign w:val="center"/>
          </w:tcPr>
          <w:p w14:paraId="17721B72" w14:textId="0BA19CF2" w:rsidR="00240842" w:rsidRPr="00A47F92" w:rsidRDefault="00A47F92" w:rsidP="00E1001A">
            <w:pPr>
              <w:ind w:right="83"/>
              <w:jc w:val="center"/>
              <w:rPr>
                <w:rFonts w:eastAsia="Times New Roman" w:cs="Times New Roman"/>
                <w:i/>
                <w:szCs w:val="24"/>
                <w:lang w:eastAsia="lv-LV"/>
              </w:rPr>
            </w:pPr>
            <w:r w:rsidRPr="00A47F92">
              <w:rPr>
                <w:rFonts w:cs="Times New Roman"/>
                <w:b/>
                <w:i/>
                <w:szCs w:val="24"/>
              </w:rPr>
              <w:t>Pakalpojuma sniegšanas kārtība</w:t>
            </w:r>
          </w:p>
        </w:tc>
      </w:tr>
      <w:tr w:rsidR="008E00BA" w:rsidRPr="00326F16" w14:paraId="7B9F2880" w14:textId="77777777" w:rsidTr="002B4268">
        <w:trPr>
          <w:trHeight w:val="310"/>
        </w:trPr>
        <w:tc>
          <w:tcPr>
            <w:tcW w:w="590"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167" w:type="pct"/>
            <w:tcBorders>
              <w:top w:val="single" w:sz="4" w:space="0" w:color="auto"/>
            </w:tcBorders>
          </w:tcPr>
          <w:p w14:paraId="6E5D4CC4" w14:textId="07AE5859" w:rsidR="008E00BA" w:rsidRPr="00326F16" w:rsidRDefault="00545565" w:rsidP="00E1001A">
            <w:pPr>
              <w:tabs>
                <w:tab w:val="left" w:pos="1108"/>
              </w:tabs>
              <w:ind w:left="135" w:right="83"/>
              <w:jc w:val="both"/>
              <w:rPr>
                <w:rFonts w:eastAsia="Times New Roman" w:cs="Times New Roman"/>
                <w:szCs w:val="24"/>
                <w:lang w:eastAsia="lv-LV"/>
              </w:rPr>
            </w:pPr>
            <w:r>
              <w:rPr>
                <w:rFonts w:eastAsia="Times New Roman" w:cs="Times New Roman"/>
                <w:szCs w:val="24"/>
                <w:lang w:eastAsia="lv-LV"/>
              </w:rPr>
              <w:t>P</w:t>
            </w:r>
            <w:r w:rsidRPr="00545565">
              <w:rPr>
                <w:rFonts w:eastAsia="Times New Roman" w:cs="Times New Roman"/>
                <w:szCs w:val="24"/>
                <w:lang w:eastAsia="lv-LV"/>
              </w:rPr>
              <w:t>asūtījumu</w:t>
            </w:r>
            <w:r w:rsidR="00F05986">
              <w:rPr>
                <w:rFonts w:eastAsia="Times New Roman" w:cs="Times New Roman"/>
                <w:strike/>
                <w:szCs w:val="24"/>
                <w:lang w:eastAsia="lv-LV"/>
              </w:rPr>
              <w:t xml:space="preserve"> </w:t>
            </w:r>
            <w:r>
              <w:rPr>
                <w:rFonts w:eastAsia="Times New Roman" w:cs="Times New Roman"/>
                <w:szCs w:val="24"/>
                <w:lang w:eastAsia="lv-LV"/>
              </w:rPr>
              <w:t xml:space="preserve">veikšanas </w:t>
            </w:r>
            <w:r w:rsidRPr="00545565">
              <w:rPr>
                <w:rFonts w:eastAsia="Times New Roman" w:cs="Times New Roman"/>
                <w:szCs w:val="24"/>
                <w:lang w:eastAsia="lv-LV"/>
              </w:rPr>
              <w:t xml:space="preserve"> un pieņemšanas kārtība</w:t>
            </w:r>
          </w:p>
        </w:tc>
        <w:tc>
          <w:tcPr>
            <w:tcW w:w="1243"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5D28C346" w14:textId="77777777" w:rsidTr="002B4268">
        <w:trPr>
          <w:trHeight w:val="310"/>
        </w:trPr>
        <w:tc>
          <w:tcPr>
            <w:tcW w:w="590" w:type="pct"/>
            <w:tcBorders>
              <w:top w:val="single" w:sz="4" w:space="0" w:color="auto"/>
            </w:tcBorders>
            <w:vAlign w:val="center"/>
          </w:tcPr>
          <w:p w14:paraId="23E1A5D8" w14:textId="70512B4D" w:rsidR="008E00BA" w:rsidRPr="000A2CBB" w:rsidRDefault="00366148" w:rsidP="000A2CBB">
            <w:pPr>
              <w:jc w:val="center"/>
              <w:rPr>
                <w:rFonts w:eastAsia="Times New Roman" w:cs="Times New Roman"/>
                <w:bCs/>
                <w:szCs w:val="24"/>
                <w:lang w:eastAsia="lv-LV"/>
              </w:rPr>
            </w:pPr>
            <w:r w:rsidRPr="000A2CBB">
              <w:rPr>
                <w:rFonts w:eastAsia="Times New Roman" w:cs="Times New Roman"/>
                <w:bCs/>
                <w:szCs w:val="24"/>
                <w:lang w:eastAsia="lv-LV"/>
              </w:rPr>
              <w:t>3.1.1.</w:t>
            </w:r>
          </w:p>
        </w:tc>
        <w:tc>
          <w:tcPr>
            <w:tcW w:w="3167" w:type="pct"/>
            <w:tcBorders>
              <w:top w:val="single" w:sz="4" w:space="0" w:color="auto"/>
            </w:tcBorders>
          </w:tcPr>
          <w:p w14:paraId="2532E8A7" w14:textId="77777777" w:rsidR="00366148" w:rsidRPr="00366148" w:rsidRDefault="00366148" w:rsidP="00366148">
            <w:pPr>
              <w:tabs>
                <w:tab w:val="left" w:pos="1108"/>
              </w:tabs>
              <w:ind w:left="135" w:right="83"/>
              <w:jc w:val="both"/>
              <w:rPr>
                <w:rFonts w:eastAsia="Times New Roman" w:cs="Times New Roman"/>
                <w:szCs w:val="24"/>
                <w:lang w:eastAsia="lv-LV"/>
              </w:rPr>
            </w:pPr>
            <w:r w:rsidRPr="00366148">
              <w:rPr>
                <w:rFonts w:eastAsia="Times New Roman" w:cs="Times New Roman"/>
                <w:szCs w:val="24"/>
                <w:lang w:eastAsia="lv-LV"/>
              </w:rPr>
              <w:t xml:space="preserve">Pieprasījumu veikt iekārtu demontāžu, pretenzijas par darbu kvalitāti, Pasūtītāja pilnvarotā persona piesaka, nosūtot Izpildītāja pilnvarotai personai pa e-pastu.  </w:t>
            </w:r>
          </w:p>
          <w:p w14:paraId="22A42650" w14:textId="2D141900" w:rsidR="008E00BA" w:rsidRPr="00326F16" w:rsidRDefault="00366148" w:rsidP="00366148">
            <w:pPr>
              <w:tabs>
                <w:tab w:val="left" w:pos="1108"/>
              </w:tabs>
              <w:ind w:left="135" w:right="83"/>
              <w:jc w:val="both"/>
              <w:rPr>
                <w:rFonts w:eastAsia="Times New Roman" w:cs="Times New Roman"/>
                <w:szCs w:val="24"/>
                <w:lang w:eastAsia="lv-LV"/>
              </w:rPr>
            </w:pPr>
            <w:r w:rsidRPr="00366148">
              <w:rPr>
                <w:rFonts w:eastAsia="Times New Roman" w:cs="Times New Roman"/>
                <w:szCs w:val="24"/>
                <w:lang w:eastAsia="lv-LV"/>
              </w:rPr>
              <w:t>Par iekārtu demontāžu pušu pilnvarotās personas paraksta pakalpojuma nodošanas-pieņemšanas aktu.</w:t>
            </w:r>
          </w:p>
        </w:tc>
        <w:tc>
          <w:tcPr>
            <w:tcW w:w="1243" w:type="pct"/>
          </w:tcPr>
          <w:p w14:paraId="0E5E928C" w14:textId="77777777" w:rsidR="008E00BA" w:rsidRPr="00326F16" w:rsidRDefault="008E00BA" w:rsidP="00E1001A">
            <w:pPr>
              <w:ind w:left="148" w:right="126"/>
              <w:jc w:val="both"/>
              <w:rPr>
                <w:rFonts w:eastAsia="Times New Roman" w:cs="Times New Roman"/>
                <w:szCs w:val="24"/>
                <w:lang w:eastAsia="lv-LV"/>
              </w:rPr>
            </w:pPr>
          </w:p>
        </w:tc>
      </w:tr>
      <w:tr w:rsidR="00366148" w:rsidRPr="00326F16" w14:paraId="28E6F992" w14:textId="77777777" w:rsidTr="002B4268">
        <w:trPr>
          <w:trHeight w:val="310"/>
        </w:trPr>
        <w:tc>
          <w:tcPr>
            <w:tcW w:w="590" w:type="pct"/>
            <w:tcBorders>
              <w:top w:val="single" w:sz="4" w:space="0" w:color="auto"/>
            </w:tcBorders>
            <w:vAlign w:val="center"/>
          </w:tcPr>
          <w:p w14:paraId="65D5D241" w14:textId="59849327" w:rsidR="00366148" w:rsidRPr="000A2CBB" w:rsidRDefault="00366148" w:rsidP="000A2CBB">
            <w:pPr>
              <w:pStyle w:val="ListParagraph"/>
              <w:numPr>
                <w:ilvl w:val="0"/>
                <w:numId w:val="32"/>
              </w:numPr>
              <w:jc w:val="center"/>
              <w:rPr>
                <w:rFonts w:eastAsia="Times New Roman" w:cs="Times New Roman"/>
                <w:bCs/>
                <w:szCs w:val="24"/>
                <w:lang w:eastAsia="lv-LV"/>
              </w:rPr>
            </w:pPr>
          </w:p>
        </w:tc>
        <w:tc>
          <w:tcPr>
            <w:tcW w:w="3167" w:type="pct"/>
            <w:tcBorders>
              <w:top w:val="single" w:sz="4" w:space="0" w:color="auto"/>
            </w:tcBorders>
          </w:tcPr>
          <w:p w14:paraId="56EFED5D" w14:textId="2096DDFE" w:rsidR="00366148" w:rsidRPr="000A2CBB" w:rsidRDefault="00366148" w:rsidP="000A2CBB">
            <w:pPr>
              <w:tabs>
                <w:tab w:val="left" w:pos="1108"/>
              </w:tabs>
              <w:ind w:left="135" w:right="83"/>
              <w:jc w:val="center"/>
              <w:rPr>
                <w:rFonts w:eastAsia="Times New Roman" w:cs="Times New Roman"/>
                <w:b/>
                <w:bCs/>
                <w:szCs w:val="24"/>
                <w:lang w:eastAsia="lv-LV"/>
              </w:rPr>
            </w:pPr>
            <w:r w:rsidRPr="000A2CBB">
              <w:rPr>
                <w:rFonts w:eastAsia="Times New Roman" w:cs="Times New Roman"/>
                <w:b/>
                <w:bCs/>
                <w:szCs w:val="24"/>
                <w:lang w:eastAsia="lv-LV"/>
              </w:rPr>
              <w:t>Prasības Iekārtu demontāžai</w:t>
            </w:r>
          </w:p>
        </w:tc>
        <w:tc>
          <w:tcPr>
            <w:tcW w:w="1243" w:type="pct"/>
          </w:tcPr>
          <w:p w14:paraId="4D71FC40" w14:textId="77777777" w:rsidR="00366148" w:rsidRPr="00326F16" w:rsidRDefault="00366148" w:rsidP="00E1001A">
            <w:pPr>
              <w:ind w:left="148" w:right="126"/>
              <w:jc w:val="both"/>
              <w:rPr>
                <w:rFonts w:eastAsia="Times New Roman" w:cs="Times New Roman"/>
                <w:szCs w:val="24"/>
                <w:lang w:eastAsia="lv-LV"/>
              </w:rPr>
            </w:pPr>
          </w:p>
        </w:tc>
      </w:tr>
      <w:tr w:rsidR="00366148" w:rsidRPr="00326F16" w14:paraId="01C25657" w14:textId="77777777" w:rsidTr="002B4268">
        <w:trPr>
          <w:trHeight w:val="310"/>
        </w:trPr>
        <w:tc>
          <w:tcPr>
            <w:tcW w:w="590" w:type="pct"/>
            <w:tcBorders>
              <w:top w:val="single" w:sz="4" w:space="0" w:color="auto"/>
            </w:tcBorders>
            <w:vAlign w:val="center"/>
          </w:tcPr>
          <w:p w14:paraId="1465AF25" w14:textId="7EE464F2" w:rsidR="00366148" w:rsidRPr="000A2CBB" w:rsidRDefault="00366148" w:rsidP="000A2CBB">
            <w:pPr>
              <w:ind w:left="360"/>
              <w:jc w:val="center"/>
              <w:rPr>
                <w:rFonts w:eastAsia="Times New Roman" w:cs="Times New Roman"/>
                <w:bCs/>
                <w:szCs w:val="24"/>
                <w:lang w:eastAsia="lv-LV"/>
              </w:rPr>
            </w:pPr>
            <w:r>
              <w:rPr>
                <w:rFonts w:eastAsia="Times New Roman" w:cs="Times New Roman"/>
                <w:bCs/>
                <w:szCs w:val="24"/>
                <w:lang w:eastAsia="lv-LV"/>
              </w:rPr>
              <w:t>4.1.</w:t>
            </w:r>
          </w:p>
        </w:tc>
        <w:tc>
          <w:tcPr>
            <w:tcW w:w="3167" w:type="pct"/>
            <w:tcBorders>
              <w:top w:val="single" w:sz="4" w:space="0" w:color="auto"/>
            </w:tcBorders>
          </w:tcPr>
          <w:p w14:paraId="1BFCE733" w14:textId="012765D8" w:rsidR="00366148" w:rsidRPr="00366148" w:rsidRDefault="00366148" w:rsidP="00366148">
            <w:pPr>
              <w:tabs>
                <w:tab w:val="left" w:pos="1108"/>
              </w:tabs>
              <w:ind w:left="135" w:right="83"/>
              <w:jc w:val="center"/>
              <w:rPr>
                <w:rFonts w:eastAsia="Times New Roman" w:cs="Times New Roman"/>
                <w:b/>
                <w:bCs/>
                <w:szCs w:val="24"/>
                <w:lang w:eastAsia="lv-LV"/>
              </w:rPr>
            </w:pPr>
            <w:r w:rsidRPr="008D094D">
              <w:rPr>
                <w:rFonts w:eastAsia="Times New Roman" w:cs="Times New Roman"/>
                <w:bCs/>
                <w:szCs w:val="24"/>
                <w:lang w:eastAsia="lv-LV"/>
              </w:rPr>
              <w:t>ATVIENOŠANA NO ELEKTROAPGĀDES</w:t>
            </w:r>
          </w:p>
        </w:tc>
        <w:tc>
          <w:tcPr>
            <w:tcW w:w="1243" w:type="pct"/>
          </w:tcPr>
          <w:p w14:paraId="503E5150" w14:textId="77777777" w:rsidR="00366148" w:rsidRPr="00326F16" w:rsidRDefault="00366148" w:rsidP="00366148">
            <w:pPr>
              <w:ind w:left="148" w:right="126"/>
              <w:jc w:val="both"/>
              <w:rPr>
                <w:rFonts w:eastAsia="Times New Roman" w:cs="Times New Roman"/>
                <w:szCs w:val="24"/>
                <w:lang w:eastAsia="lv-LV"/>
              </w:rPr>
            </w:pPr>
          </w:p>
        </w:tc>
      </w:tr>
      <w:tr w:rsidR="00366148" w:rsidRPr="00326F16" w14:paraId="549C02CE" w14:textId="77777777" w:rsidTr="002B4268">
        <w:trPr>
          <w:trHeight w:val="310"/>
        </w:trPr>
        <w:tc>
          <w:tcPr>
            <w:tcW w:w="590" w:type="pct"/>
            <w:tcBorders>
              <w:top w:val="single" w:sz="4" w:space="0" w:color="auto"/>
            </w:tcBorders>
            <w:vAlign w:val="center"/>
          </w:tcPr>
          <w:p w14:paraId="44A70AA6" w14:textId="4E1EA704" w:rsidR="00366148" w:rsidRDefault="00366148" w:rsidP="00366148">
            <w:pPr>
              <w:ind w:left="360"/>
              <w:jc w:val="center"/>
              <w:rPr>
                <w:rFonts w:eastAsia="Times New Roman" w:cs="Times New Roman"/>
                <w:bCs/>
                <w:szCs w:val="24"/>
                <w:lang w:eastAsia="lv-LV"/>
              </w:rPr>
            </w:pPr>
            <w:r>
              <w:rPr>
                <w:rFonts w:eastAsia="Times New Roman" w:cs="Times New Roman"/>
                <w:bCs/>
                <w:szCs w:val="24"/>
                <w:lang w:eastAsia="lv-LV"/>
              </w:rPr>
              <w:t>4.1.1.</w:t>
            </w:r>
          </w:p>
          <w:p w14:paraId="0ECB88A9" w14:textId="77777777" w:rsidR="00366148" w:rsidRDefault="00366148" w:rsidP="00366148">
            <w:pPr>
              <w:ind w:left="360"/>
              <w:jc w:val="center"/>
              <w:rPr>
                <w:rFonts w:eastAsia="Times New Roman" w:cs="Times New Roman"/>
                <w:bCs/>
                <w:szCs w:val="24"/>
                <w:lang w:eastAsia="lv-LV"/>
              </w:rPr>
            </w:pPr>
          </w:p>
        </w:tc>
        <w:tc>
          <w:tcPr>
            <w:tcW w:w="3167" w:type="pct"/>
            <w:tcBorders>
              <w:top w:val="single" w:sz="4" w:space="0" w:color="auto"/>
            </w:tcBorders>
          </w:tcPr>
          <w:p w14:paraId="71AC7090" w14:textId="77777777" w:rsidR="00366148" w:rsidRPr="008D094D" w:rsidRDefault="00366148" w:rsidP="00366148">
            <w:pPr>
              <w:contextualSpacing/>
              <w:rPr>
                <w:rFonts w:eastAsia="Times New Roman" w:cs="Times New Roman"/>
                <w:bCs/>
                <w:szCs w:val="24"/>
                <w:lang w:eastAsia="lv-LV"/>
              </w:rPr>
            </w:pPr>
            <w:r w:rsidRPr="008D094D">
              <w:rPr>
                <w:rFonts w:eastAsia="Times New Roman" w:cs="Times New Roman"/>
                <w:bCs/>
                <w:szCs w:val="24"/>
                <w:lang w:eastAsia="lv-LV"/>
              </w:rPr>
              <w:t>• Pilnīga elektroapgādes atslēgšana rentgenstaru iekārtai.</w:t>
            </w:r>
          </w:p>
          <w:p w14:paraId="7F672B43" w14:textId="77777777" w:rsidR="00366148" w:rsidRPr="008D094D" w:rsidRDefault="00366148" w:rsidP="00366148">
            <w:pPr>
              <w:contextualSpacing/>
              <w:rPr>
                <w:rFonts w:eastAsia="Times New Roman" w:cs="Times New Roman"/>
                <w:bCs/>
                <w:szCs w:val="24"/>
                <w:lang w:eastAsia="lv-LV"/>
              </w:rPr>
            </w:pPr>
            <w:r w:rsidRPr="008D094D">
              <w:rPr>
                <w:rFonts w:eastAsia="Times New Roman" w:cs="Times New Roman"/>
                <w:bCs/>
                <w:szCs w:val="24"/>
                <w:lang w:eastAsia="lv-LV"/>
              </w:rPr>
              <w:t>• Spēka kabeļu, vadības kabeļu un zemējuma savienojumu atvienošana.</w:t>
            </w:r>
          </w:p>
          <w:p w14:paraId="33F3995C" w14:textId="77777777" w:rsidR="00366148" w:rsidRPr="008D094D" w:rsidRDefault="00366148" w:rsidP="00366148">
            <w:pPr>
              <w:contextualSpacing/>
              <w:rPr>
                <w:rFonts w:eastAsia="Times New Roman" w:cs="Times New Roman"/>
                <w:bCs/>
                <w:szCs w:val="24"/>
                <w:lang w:eastAsia="lv-LV"/>
              </w:rPr>
            </w:pPr>
            <w:r w:rsidRPr="008D094D">
              <w:rPr>
                <w:rFonts w:eastAsia="Times New Roman" w:cs="Times New Roman"/>
                <w:bCs/>
                <w:szCs w:val="24"/>
                <w:lang w:eastAsia="lv-LV"/>
              </w:rPr>
              <w:t xml:space="preserve">• Kabeļu kanālu atvēršana un kabeļu demontāža līdz </w:t>
            </w:r>
            <w:proofErr w:type="spellStart"/>
            <w:r w:rsidRPr="008D094D">
              <w:rPr>
                <w:rFonts w:eastAsia="Times New Roman" w:cs="Times New Roman"/>
                <w:bCs/>
                <w:szCs w:val="24"/>
                <w:lang w:eastAsia="lv-LV"/>
              </w:rPr>
              <w:t>pieslēguma</w:t>
            </w:r>
            <w:proofErr w:type="spellEnd"/>
            <w:r w:rsidRPr="008D094D">
              <w:rPr>
                <w:rFonts w:eastAsia="Times New Roman" w:cs="Times New Roman"/>
                <w:bCs/>
                <w:szCs w:val="24"/>
                <w:lang w:eastAsia="lv-LV"/>
              </w:rPr>
              <w:t xml:space="preserve"> punktiem.</w:t>
            </w:r>
          </w:p>
          <w:p w14:paraId="68D824D1" w14:textId="77777777" w:rsidR="00366148" w:rsidRDefault="00366148" w:rsidP="00366148">
            <w:pPr>
              <w:contextualSpacing/>
              <w:rPr>
                <w:rFonts w:eastAsia="Times New Roman" w:cs="Times New Roman"/>
                <w:bCs/>
                <w:szCs w:val="24"/>
                <w:lang w:eastAsia="lv-LV"/>
              </w:rPr>
            </w:pPr>
            <w:r w:rsidRPr="008D094D">
              <w:rPr>
                <w:rFonts w:eastAsia="Times New Roman" w:cs="Times New Roman"/>
                <w:bCs/>
                <w:szCs w:val="24"/>
                <w:lang w:eastAsia="lv-LV"/>
              </w:rPr>
              <w:t>• Pārbaude, ka iekārta ir izslēgta un rentgena ģenerators deaktivizēts.</w:t>
            </w:r>
          </w:p>
          <w:p w14:paraId="31466821" w14:textId="5C8003B5" w:rsidR="00366148" w:rsidRPr="008D094D" w:rsidRDefault="00366148" w:rsidP="000A2CBB">
            <w:pPr>
              <w:tabs>
                <w:tab w:val="left" w:pos="1108"/>
              </w:tabs>
              <w:ind w:left="135" w:right="83"/>
              <w:rPr>
                <w:rFonts w:eastAsia="Times New Roman" w:cs="Times New Roman"/>
                <w:bCs/>
                <w:szCs w:val="24"/>
                <w:lang w:eastAsia="lv-LV"/>
              </w:rPr>
            </w:pPr>
          </w:p>
        </w:tc>
        <w:tc>
          <w:tcPr>
            <w:tcW w:w="1243" w:type="pct"/>
          </w:tcPr>
          <w:p w14:paraId="75157E52" w14:textId="77777777" w:rsidR="00366148" w:rsidRPr="00326F16" w:rsidRDefault="00366148" w:rsidP="00366148">
            <w:pPr>
              <w:ind w:left="148" w:right="126"/>
              <w:jc w:val="both"/>
              <w:rPr>
                <w:rFonts w:eastAsia="Times New Roman" w:cs="Times New Roman"/>
                <w:szCs w:val="24"/>
                <w:lang w:eastAsia="lv-LV"/>
              </w:rPr>
            </w:pPr>
          </w:p>
        </w:tc>
      </w:tr>
      <w:tr w:rsidR="00366148" w:rsidRPr="00326F16" w14:paraId="17C6FA90" w14:textId="77777777" w:rsidTr="002B4268">
        <w:trPr>
          <w:trHeight w:val="310"/>
        </w:trPr>
        <w:tc>
          <w:tcPr>
            <w:tcW w:w="590" w:type="pct"/>
            <w:tcBorders>
              <w:top w:val="single" w:sz="4" w:space="0" w:color="auto"/>
            </w:tcBorders>
            <w:vAlign w:val="center"/>
          </w:tcPr>
          <w:p w14:paraId="582B3AB9" w14:textId="728DA85C" w:rsidR="00366148" w:rsidRDefault="00366148" w:rsidP="00366148">
            <w:pPr>
              <w:ind w:left="360"/>
              <w:jc w:val="center"/>
              <w:rPr>
                <w:rFonts w:eastAsia="Times New Roman" w:cs="Times New Roman"/>
                <w:bCs/>
                <w:szCs w:val="24"/>
                <w:lang w:eastAsia="lv-LV"/>
              </w:rPr>
            </w:pPr>
            <w:r>
              <w:rPr>
                <w:rFonts w:eastAsia="Times New Roman" w:cs="Times New Roman"/>
                <w:bCs/>
                <w:szCs w:val="24"/>
                <w:lang w:eastAsia="lv-LV"/>
              </w:rPr>
              <w:t>4.2.</w:t>
            </w:r>
          </w:p>
        </w:tc>
        <w:tc>
          <w:tcPr>
            <w:tcW w:w="3167" w:type="pct"/>
            <w:tcBorders>
              <w:top w:val="single" w:sz="4" w:space="0" w:color="auto"/>
            </w:tcBorders>
          </w:tcPr>
          <w:p w14:paraId="0D78BE3A" w14:textId="01248E97" w:rsidR="00366148" w:rsidRPr="008D094D" w:rsidRDefault="00366148" w:rsidP="000A2CBB">
            <w:pPr>
              <w:contextualSpacing/>
              <w:jc w:val="center"/>
              <w:rPr>
                <w:rFonts w:eastAsia="Times New Roman" w:cs="Times New Roman"/>
                <w:bCs/>
                <w:szCs w:val="24"/>
                <w:lang w:eastAsia="lv-LV"/>
              </w:rPr>
            </w:pPr>
            <w:r w:rsidRPr="00366148">
              <w:rPr>
                <w:rFonts w:eastAsia="Times New Roman" w:cs="Times New Roman"/>
                <w:bCs/>
                <w:szCs w:val="24"/>
                <w:lang w:eastAsia="lv-LV"/>
              </w:rPr>
              <w:t>BĪSTAMO ŠĶIDRUMU UN GĀZU UTILIZĀCIJA</w:t>
            </w:r>
          </w:p>
        </w:tc>
        <w:tc>
          <w:tcPr>
            <w:tcW w:w="1243" w:type="pct"/>
          </w:tcPr>
          <w:p w14:paraId="6C266393" w14:textId="77777777" w:rsidR="00366148" w:rsidRPr="00326F16" w:rsidRDefault="00366148" w:rsidP="00366148">
            <w:pPr>
              <w:ind w:left="148" w:right="126"/>
              <w:jc w:val="both"/>
              <w:rPr>
                <w:rFonts w:eastAsia="Times New Roman" w:cs="Times New Roman"/>
                <w:szCs w:val="24"/>
                <w:lang w:eastAsia="lv-LV"/>
              </w:rPr>
            </w:pPr>
          </w:p>
        </w:tc>
      </w:tr>
      <w:tr w:rsidR="00366148" w:rsidRPr="00326F16" w14:paraId="546A104F" w14:textId="77777777" w:rsidTr="002B4268">
        <w:trPr>
          <w:trHeight w:val="310"/>
        </w:trPr>
        <w:tc>
          <w:tcPr>
            <w:tcW w:w="590" w:type="pct"/>
            <w:tcBorders>
              <w:top w:val="single" w:sz="4" w:space="0" w:color="auto"/>
            </w:tcBorders>
            <w:vAlign w:val="center"/>
          </w:tcPr>
          <w:p w14:paraId="2783800C" w14:textId="4AE6F0C0" w:rsidR="00366148" w:rsidRDefault="00366148" w:rsidP="00366148">
            <w:pPr>
              <w:ind w:left="360"/>
              <w:jc w:val="center"/>
              <w:rPr>
                <w:rFonts w:eastAsia="Times New Roman" w:cs="Times New Roman"/>
                <w:bCs/>
                <w:szCs w:val="24"/>
                <w:lang w:eastAsia="lv-LV"/>
              </w:rPr>
            </w:pPr>
            <w:r>
              <w:rPr>
                <w:rFonts w:eastAsia="Times New Roman" w:cs="Times New Roman"/>
                <w:bCs/>
                <w:szCs w:val="24"/>
                <w:lang w:eastAsia="lv-LV"/>
              </w:rPr>
              <w:t>4.2.1.</w:t>
            </w:r>
          </w:p>
        </w:tc>
        <w:tc>
          <w:tcPr>
            <w:tcW w:w="3167" w:type="pct"/>
            <w:tcBorders>
              <w:top w:val="single" w:sz="4" w:space="0" w:color="auto"/>
            </w:tcBorders>
          </w:tcPr>
          <w:p w14:paraId="330B2AE0" w14:textId="77777777" w:rsidR="00366148" w:rsidRPr="00366148" w:rsidRDefault="00366148" w:rsidP="00366148">
            <w:pPr>
              <w:contextualSpacing/>
              <w:jc w:val="both"/>
              <w:rPr>
                <w:rFonts w:eastAsia="Times New Roman" w:cs="Times New Roman"/>
                <w:bCs/>
                <w:szCs w:val="24"/>
                <w:lang w:eastAsia="lv-LV"/>
              </w:rPr>
            </w:pPr>
            <w:r w:rsidRPr="00366148">
              <w:rPr>
                <w:rFonts w:eastAsia="Times New Roman" w:cs="Times New Roman"/>
                <w:bCs/>
                <w:szCs w:val="24"/>
                <w:lang w:eastAsia="lv-LV"/>
              </w:rPr>
              <w:t>• Kondicionēšanas sistēmās esošo dzesējošo gāzu (freonu) atsūknēšana, izmantojot sertificētu aprīkojumu, un nodošana utilizācijai.</w:t>
            </w:r>
          </w:p>
          <w:p w14:paraId="4E78941D" w14:textId="77777777" w:rsidR="00366148" w:rsidRPr="00366148" w:rsidRDefault="00366148" w:rsidP="00366148">
            <w:pPr>
              <w:contextualSpacing/>
              <w:jc w:val="both"/>
              <w:rPr>
                <w:rFonts w:eastAsia="Times New Roman" w:cs="Times New Roman"/>
                <w:bCs/>
                <w:szCs w:val="24"/>
                <w:lang w:eastAsia="lv-LV"/>
              </w:rPr>
            </w:pPr>
            <w:r w:rsidRPr="00366148">
              <w:rPr>
                <w:rFonts w:eastAsia="Times New Roman" w:cs="Times New Roman"/>
                <w:bCs/>
                <w:szCs w:val="24"/>
                <w:lang w:eastAsia="lv-LV"/>
              </w:rPr>
              <w:t xml:space="preserve">• SF₆ gāzes atsūknēšana no </w:t>
            </w:r>
            <w:proofErr w:type="spellStart"/>
            <w:r w:rsidRPr="00366148">
              <w:rPr>
                <w:rFonts w:eastAsia="Times New Roman" w:cs="Times New Roman"/>
                <w:bCs/>
                <w:szCs w:val="24"/>
                <w:lang w:eastAsia="lv-LV"/>
              </w:rPr>
              <w:t>viļņvada</w:t>
            </w:r>
            <w:proofErr w:type="spellEnd"/>
            <w:r w:rsidRPr="00366148">
              <w:rPr>
                <w:rFonts w:eastAsia="Times New Roman" w:cs="Times New Roman"/>
                <w:bCs/>
                <w:szCs w:val="24"/>
                <w:lang w:eastAsia="lv-LV"/>
              </w:rPr>
              <w:t xml:space="preserve"> (</w:t>
            </w:r>
            <w:proofErr w:type="spellStart"/>
            <w:r w:rsidRPr="00366148">
              <w:rPr>
                <w:rFonts w:eastAsia="Times New Roman" w:cs="Times New Roman"/>
                <w:bCs/>
                <w:szCs w:val="24"/>
                <w:lang w:eastAsia="lv-LV"/>
              </w:rPr>
              <w:t>waveguide</w:t>
            </w:r>
            <w:proofErr w:type="spellEnd"/>
            <w:r w:rsidRPr="00366148">
              <w:rPr>
                <w:rFonts w:eastAsia="Times New Roman" w:cs="Times New Roman"/>
                <w:bCs/>
                <w:szCs w:val="24"/>
                <w:lang w:eastAsia="lv-LV"/>
              </w:rPr>
              <w:t>) sistēmas:</w:t>
            </w:r>
          </w:p>
          <w:p w14:paraId="02D6F3FB" w14:textId="7A244E70" w:rsidR="00366148" w:rsidRPr="000A2CBB" w:rsidRDefault="00366148" w:rsidP="000A2CBB">
            <w:pPr>
              <w:pStyle w:val="ListParagraph"/>
              <w:numPr>
                <w:ilvl w:val="0"/>
                <w:numId w:val="45"/>
              </w:numPr>
              <w:jc w:val="both"/>
              <w:rPr>
                <w:rFonts w:eastAsia="Times New Roman" w:cs="Times New Roman"/>
                <w:bCs/>
                <w:szCs w:val="24"/>
                <w:lang w:eastAsia="lv-LV"/>
              </w:rPr>
            </w:pPr>
            <w:r w:rsidRPr="000A2CBB">
              <w:rPr>
                <w:rFonts w:eastAsia="Times New Roman" w:cs="Times New Roman"/>
                <w:bCs/>
                <w:szCs w:val="24"/>
                <w:lang w:eastAsia="lv-LV"/>
              </w:rPr>
              <w:t xml:space="preserve"> Hermētiskuma nodrošināšana atsūknēšanas procesā;</w:t>
            </w:r>
          </w:p>
          <w:p w14:paraId="0B5A96B0" w14:textId="1CC729DA" w:rsidR="00366148" w:rsidRPr="000A2CBB" w:rsidRDefault="00366148" w:rsidP="000A2CBB">
            <w:pPr>
              <w:pStyle w:val="ListParagraph"/>
              <w:numPr>
                <w:ilvl w:val="0"/>
                <w:numId w:val="45"/>
              </w:numPr>
              <w:jc w:val="both"/>
              <w:rPr>
                <w:rFonts w:eastAsia="Times New Roman" w:cs="Times New Roman"/>
                <w:bCs/>
                <w:szCs w:val="24"/>
                <w:lang w:eastAsia="lv-LV"/>
              </w:rPr>
            </w:pPr>
            <w:r w:rsidRPr="000A2CBB">
              <w:rPr>
                <w:rFonts w:eastAsia="Times New Roman" w:cs="Times New Roman"/>
                <w:bCs/>
                <w:szCs w:val="24"/>
                <w:lang w:eastAsia="lv-LV"/>
              </w:rPr>
              <w:t>Dokumentācijas noformēšana par savākto gāzes daudzumu.</w:t>
            </w:r>
          </w:p>
          <w:p w14:paraId="2D53A1C0" w14:textId="77777777" w:rsidR="00366148" w:rsidRPr="00366148" w:rsidRDefault="00366148" w:rsidP="00366148">
            <w:pPr>
              <w:contextualSpacing/>
              <w:jc w:val="both"/>
              <w:rPr>
                <w:rFonts w:eastAsia="Times New Roman" w:cs="Times New Roman"/>
                <w:bCs/>
                <w:szCs w:val="24"/>
                <w:lang w:eastAsia="lv-LV"/>
              </w:rPr>
            </w:pPr>
            <w:r w:rsidRPr="00366148">
              <w:rPr>
                <w:rFonts w:eastAsia="Times New Roman" w:cs="Times New Roman"/>
                <w:bCs/>
                <w:szCs w:val="24"/>
                <w:lang w:eastAsia="lv-LV"/>
              </w:rPr>
              <w:t>• Akseleratora dzesēšanas sistēmas dzesēšanas šķidruma noliešana, savākšana un utilizācija.</w:t>
            </w:r>
          </w:p>
          <w:p w14:paraId="7C711BFA" w14:textId="77777777" w:rsidR="00366148" w:rsidRPr="00366148" w:rsidRDefault="00366148" w:rsidP="00366148">
            <w:pPr>
              <w:contextualSpacing/>
              <w:jc w:val="both"/>
              <w:rPr>
                <w:rFonts w:eastAsia="Times New Roman" w:cs="Times New Roman"/>
                <w:bCs/>
                <w:szCs w:val="24"/>
                <w:lang w:eastAsia="lv-LV"/>
              </w:rPr>
            </w:pPr>
            <w:r w:rsidRPr="00366148">
              <w:rPr>
                <w:rFonts w:eastAsia="Times New Roman" w:cs="Times New Roman"/>
                <w:bCs/>
                <w:szCs w:val="24"/>
                <w:lang w:eastAsia="lv-LV"/>
              </w:rPr>
              <w:t>• Eļļu un citu tehnisko šķidrumu savākšana no hidrauliskajiem vai mehāniskajiem mezgliem.</w:t>
            </w:r>
          </w:p>
          <w:p w14:paraId="7AD412CA" w14:textId="1A4B4397" w:rsidR="00366148" w:rsidRPr="00366148" w:rsidRDefault="00366148" w:rsidP="000A2CBB">
            <w:pPr>
              <w:contextualSpacing/>
              <w:jc w:val="both"/>
              <w:rPr>
                <w:rFonts w:eastAsia="Times New Roman" w:cs="Times New Roman"/>
                <w:bCs/>
                <w:szCs w:val="24"/>
                <w:lang w:eastAsia="lv-LV"/>
              </w:rPr>
            </w:pPr>
            <w:r w:rsidRPr="00366148">
              <w:rPr>
                <w:rFonts w:eastAsia="Times New Roman" w:cs="Times New Roman"/>
                <w:bCs/>
                <w:szCs w:val="24"/>
                <w:lang w:eastAsia="lv-LV"/>
              </w:rPr>
              <w:t xml:space="preserve">• Visu savākto šķidrumu un gāzu nodošana licencētam atkritumu </w:t>
            </w:r>
            <w:proofErr w:type="spellStart"/>
            <w:r w:rsidRPr="00366148">
              <w:rPr>
                <w:rFonts w:eastAsia="Times New Roman" w:cs="Times New Roman"/>
                <w:bCs/>
                <w:szCs w:val="24"/>
                <w:lang w:eastAsia="lv-LV"/>
              </w:rPr>
              <w:t>apsaimniekotājam</w:t>
            </w:r>
            <w:proofErr w:type="spellEnd"/>
            <w:r w:rsidRPr="00366148">
              <w:rPr>
                <w:rFonts w:eastAsia="Times New Roman" w:cs="Times New Roman"/>
                <w:bCs/>
                <w:szCs w:val="24"/>
                <w:lang w:eastAsia="lv-LV"/>
              </w:rPr>
              <w:t xml:space="preserve"> ar pavaddokumentiem.</w:t>
            </w:r>
          </w:p>
        </w:tc>
        <w:tc>
          <w:tcPr>
            <w:tcW w:w="1243" w:type="pct"/>
          </w:tcPr>
          <w:p w14:paraId="34E1C5B2" w14:textId="77777777" w:rsidR="00366148" w:rsidRPr="00326F16" w:rsidRDefault="00366148" w:rsidP="00366148">
            <w:pPr>
              <w:ind w:left="148" w:right="126"/>
              <w:jc w:val="both"/>
              <w:rPr>
                <w:rFonts w:eastAsia="Times New Roman" w:cs="Times New Roman"/>
                <w:szCs w:val="24"/>
                <w:lang w:eastAsia="lv-LV"/>
              </w:rPr>
            </w:pPr>
          </w:p>
        </w:tc>
      </w:tr>
      <w:tr w:rsidR="00AE7F0B" w:rsidRPr="00326F16" w14:paraId="09BC53A1" w14:textId="77777777" w:rsidTr="002B4268">
        <w:trPr>
          <w:trHeight w:val="310"/>
        </w:trPr>
        <w:tc>
          <w:tcPr>
            <w:tcW w:w="590" w:type="pct"/>
            <w:tcBorders>
              <w:top w:val="single" w:sz="4" w:space="0" w:color="auto"/>
            </w:tcBorders>
            <w:vAlign w:val="center"/>
          </w:tcPr>
          <w:p w14:paraId="5AC09CFF" w14:textId="6C2542D0" w:rsidR="00AE7F0B" w:rsidRDefault="00AE7F0B" w:rsidP="00366148">
            <w:pPr>
              <w:ind w:left="360"/>
              <w:jc w:val="center"/>
              <w:rPr>
                <w:rFonts w:eastAsia="Times New Roman" w:cs="Times New Roman"/>
                <w:bCs/>
                <w:szCs w:val="24"/>
                <w:lang w:eastAsia="lv-LV"/>
              </w:rPr>
            </w:pPr>
            <w:r>
              <w:rPr>
                <w:rFonts w:eastAsia="Times New Roman" w:cs="Times New Roman"/>
                <w:bCs/>
                <w:szCs w:val="24"/>
                <w:lang w:eastAsia="lv-LV"/>
              </w:rPr>
              <w:t xml:space="preserve">4.3. </w:t>
            </w:r>
          </w:p>
        </w:tc>
        <w:tc>
          <w:tcPr>
            <w:tcW w:w="3167" w:type="pct"/>
            <w:tcBorders>
              <w:top w:val="single" w:sz="4" w:space="0" w:color="auto"/>
            </w:tcBorders>
          </w:tcPr>
          <w:p w14:paraId="2A53CDA3" w14:textId="074A6014" w:rsidR="00AE7F0B" w:rsidRPr="00366148" w:rsidRDefault="00AE7F0B" w:rsidP="00366148">
            <w:pPr>
              <w:contextualSpacing/>
              <w:jc w:val="both"/>
              <w:rPr>
                <w:rFonts w:eastAsia="Times New Roman" w:cs="Times New Roman"/>
                <w:bCs/>
                <w:szCs w:val="24"/>
                <w:lang w:eastAsia="lv-LV"/>
              </w:rPr>
            </w:pPr>
            <w:r w:rsidRPr="00AE7F0B">
              <w:rPr>
                <w:rFonts w:eastAsia="Times New Roman" w:cs="Times New Roman"/>
                <w:bCs/>
                <w:szCs w:val="24"/>
                <w:lang w:eastAsia="lv-LV"/>
              </w:rPr>
              <w:t>NODERĪGĀ APRĪKOJUMA SAUDZĪGA DEMONTĀŽA</w:t>
            </w:r>
          </w:p>
        </w:tc>
        <w:tc>
          <w:tcPr>
            <w:tcW w:w="1243" w:type="pct"/>
          </w:tcPr>
          <w:p w14:paraId="6C04A860" w14:textId="77777777" w:rsidR="00AE7F0B" w:rsidRPr="00326F16" w:rsidRDefault="00AE7F0B" w:rsidP="00366148">
            <w:pPr>
              <w:ind w:left="148" w:right="126"/>
              <w:jc w:val="both"/>
              <w:rPr>
                <w:rFonts w:eastAsia="Times New Roman" w:cs="Times New Roman"/>
                <w:szCs w:val="24"/>
                <w:lang w:eastAsia="lv-LV"/>
              </w:rPr>
            </w:pPr>
          </w:p>
        </w:tc>
      </w:tr>
      <w:tr w:rsidR="00AE7F0B" w:rsidRPr="00326F16" w14:paraId="707B3BB5" w14:textId="77777777" w:rsidTr="002B4268">
        <w:trPr>
          <w:trHeight w:val="310"/>
        </w:trPr>
        <w:tc>
          <w:tcPr>
            <w:tcW w:w="590" w:type="pct"/>
            <w:tcBorders>
              <w:top w:val="single" w:sz="4" w:space="0" w:color="auto"/>
            </w:tcBorders>
            <w:vAlign w:val="center"/>
          </w:tcPr>
          <w:p w14:paraId="12508CB5" w14:textId="0C871C0A" w:rsidR="00AE7F0B" w:rsidRDefault="00AE7F0B" w:rsidP="00AE7F0B">
            <w:pPr>
              <w:ind w:left="360"/>
              <w:jc w:val="center"/>
              <w:rPr>
                <w:rFonts w:eastAsia="Times New Roman" w:cs="Times New Roman"/>
                <w:bCs/>
                <w:szCs w:val="24"/>
                <w:lang w:eastAsia="lv-LV"/>
              </w:rPr>
            </w:pPr>
            <w:r>
              <w:rPr>
                <w:rFonts w:eastAsia="Times New Roman" w:cs="Times New Roman"/>
                <w:bCs/>
                <w:szCs w:val="24"/>
                <w:lang w:eastAsia="lv-LV"/>
              </w:rPr>
              <w:t>4.3.1.</w:t>
            </w:r>
          </w:p>
        </w:tc>
        <w:tc>
          <w:tcPr>
            <w:tcW w:w="3167" w:type="pct"/>
            <w:tcBorders>
              <w:top w:val="single" w:sz="4" w:space="0" w:color="auto"/>
            </w:tcBorders>
          </w:tcPr>
          <w:p w14:paraId="18EDED0E"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Lineārais paātrinātājs viss kopumā , ieskaitot "lielgabalu", magnetronu un augstsprieguma komponentus.</w:t>
            </w:r>
          </w:p>
          <w:p w14:paraId="7AABF43F"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Modulators</w:t>
            </w:r>
          </w:p>
          <w:p w14:paraId="31C5FDA3" w14:textId="77777777" w:rsidR="00AE7F0B" w:rsidRPr="00A02E37" w:rsidRDefault="00AE7F0B" w:rsidP="00AE7F0B">
            <w:pPr>
              <w:numPr>
                <w:ilvl w:val="1"/>
                <w:numId w:val="46"/>
              </w:numPr>
              <w:spacing w:after="160"/>
              <w:contextualSpacing/>
              <w:rPr>
                <w:rFonts w:eastAsia="Aptos" w:cs="Times New Roman"/>
                <w:b/>
                <w:bCs/>
                <w:kern w:val="2"/>
                <w:szCs w:val="24"/>
                <w14:ligatures w14:val="standardContextual"/>
              </w:rPr>
            </w:pPr>
            <w:r w:rsidRPr="00A02E37">
              <w:rPr>
                <w:rFonts w:eastAsia="Aptos" w:cs="Times New Roman"/>
                <w:kern w:val="2"/>
                <w:szCs w:val="24"/>
                <w14:ligatures w14:val="standardContextual"/>
              </w:rPr>
              <w:lastRenderedPageBreak/>
              <w:t>Modulatora komponenti:</w:t>
            </w:r>
          </w:p>
          <w:p w14:paraId="13A02DA9" w14:textId="77777777" w:rsidR="00AE7F0B" w:rsidRPr="00A02E37" w:rsidRDefault="00AE7F0B" w:rsidP="00AE7F0B">
            <w:pPr>
              <w:numPr>
                <w:ilvl w:val="0"/>
                <w:numId w:val="47"/>
              </w:numPr>
              <w:spacing w:after="160"/>
              <w:contextualSpacing/>
              <w:rPr>
                <w:rFonts w:eastAsia="Aptos" w:cs="Times New Roman"/>
                <w:b/>
                <w:bCs/>
                <w:kern w:val="2"/>
                <w:szCs w:val="24"/>
                <w14:ligatures w14:val="standardContextual"/>
              </w:rPr>
            </w:pPr>
            <w:r w:rsidRPr="00A02E37">
              <w:rPr>
                <w:rFonts w:eastAsia="Aptos" w:cs="Times New Roman"/>
                <w:kern w:val="2"/>
                <w:szCs w:val="24"/>
                <w14:ligatures w14:val="standardContextual"/>
              </w:rPr>
              <w:t xml:space="preserve">AFC </w:t>
            </w:r>
            <w:proofErr w:type="spellStart"/>
            <w:r w:rsidRPr="00A02E37">
              <w:rPr>
                <w:rFonts w:eastAsia="Aptos" w:cs="Times New Roman"/>
                <w:kern w:val="2"/>
                <w:szCs w:val="24"/>
                <w14:ligatures w14:val="standardContextual"/>
              </w:rPr>
              <w:t>unit</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Automatic</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Frequency</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Control</w:t>
            </w:r>
            <w:proofErr w:type="spellEnd"/>
            <w:r w:rsidRPr="00A02E37">
              <w:rPr>
                <w:rFonts w:eastAsia="Aptos" w:cs="Times New Roman"/>
                <w:kern w:val="2"/>
                <w:szCs w:val="24"/>
                <w14:ligatures w14:val="standardContextual"/>
              </w:rPr>
              <w:t>),</w:t>
            </w:r>
          </w:p>
          <w:p w14:paraId="03045EE6" w14:textId="77777777" w:rsidR="00AE7F0B" w:rsidRPr="00A02E37" w:rsidRDefault="00AE7F0B" w:rsidP="00AE7F0B">
            <w:pPr>
              <w:numPr>
                <w:ilvl w:val="0"/>
                <w:numId w:val="47"/>
              </w:numPr>
              <w:spacing w:after="160"/>
              <w:contextualSpacing/>
              <w:rPr>
                <w:rFonts w:eastAsia="Aptos" w:cs="Times New Roman"/>
                <w:b/>
                <w:bCs/>
                <w:kern w:val="2"/>
                <w:szCs w:val="24"/>
                <w14:ligatures w14:val="standardContextual"/>
              </w:rPr>
            </w:pPr>
            <w:proofErr w:type="spellStart"/>
            <w:r w:rsidRPr="00A02E37">
              <w:rPr>
                <w:rFonts w:eastAsia="Aptos" w:cs="Times New Roman"/>
                <w:kern w:val="2"/>
                <w:szCs w:val="24"/>
                <w14:ligatures w14:val="standardContextual"/>
              </w:rPr>
              <w:t>gun</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power</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unit</w:t>
            </w:r>
            <w:proofErr w:type="spellEnd"/>
            <w:r w:rsidRPr="00A02E37">
              <w:rPr>
                <w:rFonts w:eastAsia="Aptos" w:cs="Times New Roman"/>
                <w:kern w:val="2"/>
                <w:szCs w:val="24"/>
                <w14:ligatures w14:val="standardContextual"/>
              </w:rPr>
              <w:t>,</w:t>
            </w:r>
          </w:p>
          <w:p w14:paraId="59B9615D" w14:textId="77777777" w:rsidR="00AE7F0B" w:rsidRPr="00A02E37" w:rsidRDefault="00AE7F0B" w:rsidP="00AE7F0B">
            <w:pPr>
              <w:numPr>
                <w:ilvl w:val="0"/>
                <w:numId w:val="47"/>
              </w:numPr>
              <w:spacing w:after="160"/>
              <w:contextualSpacing/>
              <w:rPr>
                <w:rFonts w:eastAsia="Aptos" w:cs="Times New Roman"/>
                <w:b/>
                <w:bCs/>
                <w:kern w:val="2"/>
                <w:szCs w:val="24"/>
                <w14:ligatures w14:val="standardContextual"/>
              </w:rPr>
            </w:pPr>
            <w:proofErr w:type="spellStart"/>
            <w:r w:rsidRPr="00A02E37">
              <w:rPr>
                <w:rFonts w:eastAsia="Aptos" w:cs="Times New Roman"/>
                <w:kern w:val="2"/>
                <w:szCs w:val="24"/>
                <w14:ligatures w14:val="standardContextual"/>
              </w:rPr>
              <w:t>control</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unit</w:t>
            </w:r>
            <w:proofErr w:type="spellEnd"/>
            <w:r w:rsidRPr="00A02E37">
              <w:rPr>
                <w:rFonts w:eastAsia="Aptos" w:cs="Times New Roman"/>
                <w:kern w:val="2"/>
                <w:szCs w:val="24"/>
                <w14:ligatures w14:val="standardContextual"/>
              </w:rPr>
              <w:t>,</w:t>
            </w:r>
          </w:p>
          <w:p w14:paraId="37D91563" w14:textId="77777777" w:rsidR="00AE7F0B" w:rsidRPr="00A02E37" w:rsidRDefault="00AE7F0B" w:rsidP="00AE7F0B">
            <w:pPr>
              <w:numPr>
                <w:ilvl w:val="0"/>
                <w:numId w:val="47"/>
              </w:numPr>
              <w:spacing w:after="160"/>
              <w:contextualSpacing/>
              <w:rPr>
                <w:rFonts w:eastAsia="Aptos" w:cs="Times New Roman"/>
                <w:b/>
                <w:bCs/>
                <w:kern w:val="2"/>
                <w:szCs w:val="24"/>
                <w14:ligatures w14:val="standardContextual"/>
              </w:rPr>
            </w:pPr>
            <w:proofErr w:type="spellStart"/>
            <w:r w:rsidRPr="00A02E37">
              <w:rPr>
                <w:rFonts w:eastAsia="Aptos" w:cs="Times New Roman"/>
                <w:kern w:val="2"/>
                <w:szCs w:val="24"/>
                <w14:ligatures w14:val="standardContextual"/>
              </w:rPr>
              <w:t>filament</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and</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alarm</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unit</w:t>
            </w:r>
            <w:proofErr w:type="spellEnd"/>
            <w:r w:rsidRPr="00A02E37">
              <w:rPr>
                <w:rFonts w:eastAsia="Aptos" w:cs="Times New Roman"/>
                <w:kern w:val="2"/>
                <w:szCs w:val="24"/>
                <w14:ligatures w14:val="standardContextual"/>
              </w:rPr>
              <w:t>,</w:t>
            </w:r>
          </w:p>
          <w:p w14:paraId="1E165753" w14:textId="77777777" w:rsidR="00AE7F0B" w:rsidRPr="00A02E37" w:rsidRDefault="00AE7F0B" w:rsidP="00AE7F0B">
            <w:pPr>
              <w:numPr>
                <w:ilvl w:val="0"/>
                <w:numId w:val="47"/>
              </w:numPr>
              <w:spacing w:after="160"/>
              <w:contextualSpacing/>
              <w:rPr>
                <w:rFonts w:eastAsia="Aptos" w:cs="Times New Roman"/>
                <w:b/>
                <w:bCs/>
                <w:kern w:val="2"/>
                <w:szCs w:val="24"/>
                <w14:ligatures w14:val="standardContextual"/>
              </w:rPr>
            </w:pPr>
            <w:proofErr w:type="spellStart"/>
            <w:r w:rsidRPr="00A02E37">
              <w:rPr>
                <w:rFonts w:eastAsia="Aptos" w:cs="Times New Roman"/>
                <w:kern w:val="2"/>
                <w:szCs w:val="24"/>
                <w14:ligatures w14:val="standardContextual"/>
              </w:rPr>
              <w:t>power</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unit</w:t>
            </w:r>
            <w:proofErr w:type="spellEnd"/>
            <w:r w:rsidRPr="00A02E37">
              <w:rPr>
                <w:rFonts w:eastAsia="Aptos" w:cs="Times New Roman"/>
                <w:kern w:val="2"/>
                <w:szCs w:val="24"/>
                <w14:ligatures w14:val="standardContextual"/>
              </w:rPr>
              <w:t>,</w:t>
            </w:r>
          </w:p>
          <w:p w14:paraId="5A20D541" w14:textId="77777777" w:rsidR="00AE7F0B" w:rsidRPr="00A02E37" w:rsidRDefault="00AE7F0B" w:rsidP="00AE7F0B">
            <w:pPr>
              <w:numPr>
                <w:ilvl w:val="0"/>
                <w:numId w:val="47"/>
              </w:numPr>
              <w:spacing w:after="160"/>
              <w:contextualSpacing/>
              <w:rPr>
                <w:rFonts w:eastAsia="Aptos" w:cs="Times New Roman"/>
                <w:b/>
                <w:bCs/>
                <w:kern w:val="2"/>
                <w:szCs w:val="24"/>
                <w14:ligatures w14:val="standardContextual"/>
              </w:rPr>
            </w:pPr>
            <w:r w:rsidRPr="00A02E37">
              <w:rPr>
                <w:rFonts w:eastAsia="Aptos" w:cs="Times New Roman"/>
                <w:kern w:val="2"/>
                <w:szCs w:val="24"/>
                <w14:ligatures w14:val="standardContextual"/>
              </w:rPr>
              <w:t xml:space="preserve">PFN </w:t>
            </w:r>
            <w:proofErr w:type="spellStart"/>
            <w:r w:rsidRPr="00A02E37">
              <w:rPr>
                <w:rFonts w:eastAsia="Aptos" w:cs="Times New Roman"/>
                <w:kern w:val="2"/>
                <w:szCs w:val="24"/>
                <w14:ligatures w14:val="standardContextual"/>
              </w:rPr>
              <w:t>unit</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Pulse</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Forming</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Network</w:t>
            </w:r>
            <w:proofErr w:type="spellEnd"/>
            <w:r w:rsidRPr="00A02E37">
              <w:rPr>
                <w:rFonts w:eastAsia="Aptos" w:cs="Times New Roman"/>
                <w:kern w:val="2"/>
                <w:szCs w:val="24"/>
                <w14:ligatures w14:val="standardContextual"/>
              </w:rPr>
              <w:t>),</w:t>
            </w:r>
          </w:p>
          <w:p w14:paraId="38A2111B" w14:textId="77777777" w:rsidR="00AE7F0B" w:rsidRPr="00A02E37" w:rsidRDefault="00AE7F0B" w:rsidP="00AE7F0B">
            <w:pPr>
              <w:numPr>
                <w:ilvl w:val="0"/>
                <w:numId w:val="47"/>
              </w:numPr>
              <w:spacing w:after="160"/>
              <w:contextualSpacing/>
              <w:rPr>
                <w:rFonts w:eastAsia="Aptos" w:cs="Times New Roman"/>
                <w:b/>
                <w:bCs/>
                <w:kern w:val="2"/>
                <w:szCs w:val="24"/>
                <w14:ligatures w14:val="standardContextual"/>
              </w:rPr>
            </w:pPr>
            <w:proofErr w:type="spellStart"/>
            <w:r w:rsidRPr="00A02E37">
              <w:rPr>
                <w:rFonts w:eastAsia="Aptos" w:cs="Times New Roman"/>
                <w:kern w:val="2"/>
                <w:szCs w:val="24"/>
                <w14:ligatures w14:val="standardContextual"/>
              </w:rPr>
              <w:t>charging</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unit</w:t>
            </w:r>
            <w:proofErr w:type="spellEnd"/>
            <w:r w:rsidRPr="00A02E37">
              <w:rPr>
                <w:rFonts w:eastAsia="Aptos" w:cs="Times New Roman"/>
                <w:kern w:val="2"/>
                <w:szCs w:val="24"/>
                <w14:ligatures w14:val="standardContextual"/>
              </w:rPr>
              <w:t>,</w:t>
            </w:r>
          </w:p>
          <w:p w14:paraId="3C770144" w14:textId="77777777" w:rsidR="00AE7F0B" w:rsidRPr="00A02E37" w:rsidRDefault="00AE7F0B" w:rsidP="00AE7F0B">
            <w:pPr>
              <w:numPr>
                <w:ilvl w:val="0"/>
                <w:numId w:val="47"/>
              </w:numPr>
              <w:spacing w:after="160"/>
              <w:contextualSpacing/>
              <w:rPr>
                <w:rFonts w:eastAsia="Aptos" w:cs="Times New Roman"/>
                <w:b/>
                <w:bCs/>
                <w:kern w:val="2"/>
                <w:szCs w:val="24"/>
                <w14:ligatures w14:val="standardContextual"/>
              </w:rPr>
            </w:pPr>
            <w:r w:rsidRPr="00A02E37">
              <w:rPr>
                <w:rFonts w:eastAsia="Aptos" w:cs="Times New Roman"/>
                <w:kern w:val="2"/>
                <w:szCs w:val="24"/>
                <w14:ligatures w14:val="standardContextual"/>
              </w:rPr>
              <w:t xml:space="preserve">modulator </w:t>
            </w:r>
            <w:proofErr w:type="spellStart"/>
            <w:r w:rsidRPr="00A02E37">
              <w:rPr>
                <w:rFonts w:eastAsia="Aptos" w:cs="Times New Roman"/>
                <w:kern w:val="2"/>
                <w:szCs w:val="24"/>
                <w14:ligatures w14:val="standardContextual"/>
              </w:rPr>
              <w:t>cabinet</w:t>
            </w:r>
            <w:proofErr w:type="spellEnd"/>
            <w:r w:rsidRPr="00A02E37">
              <w:rPr>
                <w:rFonts w:eastAsia="Aptos" w:cs="Times New Roman"/>
                <w:kern w:val="2"/>
                <w:szCs w:val="24"/>
                <w14:ligatures w14:val="standardContextual"/>
              </w:rPr>
              <w:t>.</w:t>
            </w:r>
          </w:p>
          <w:p w14:paraId="3C7859FB"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Augstsprieguma savienojumi</w:t>
            </w:r>
          </w:p>
          <w:p w14:paraId="7020C893" w14:textId="77777777" w:rsidR="00AE7F0B" w:rsidRPr="00A02E37" w:rsidRDefault="00AE7F0B" w:rsidP="00AE7F0B">
            <w:pPr>
              <w:numPr>
                <w:ilvl w:val="0"/>
                <w:numId w:val="48"/>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Augstsprieguma kabeļi starp modulatoru un paātrinātāju.</w:t>
            </w:r>
          </w:p>
          <w:p w14:paraId="34BB99CD" w14:textId="77777777" w:rsidR="00AE7F0B" w:rsidRPr="00A02E37" w:rsidRDefault="00AE7F0B" w:rsidP="00AE7F0B">
            <w:pPr>
              <w:numPr>
                <w:ilvl w:val="0"/>
                <w:numId w:val="48"/>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Signālu un vadības kabeļi starp modulatoru un paātrinātāju.</w:t>
            </w:r>
          </w:p>
          <w:p w14:paraId="1C08249E"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Dzesēšanas sistēma</w:t>
            </w:r>
          </w:p>
          <w:p w14:paraId="7F717E63" w14:textId="77777777" w:rsidR="00AE7F0B" w:rsidRPr="00A02E37" w:rsidRDefault="00AE7F0B" w:rsidP="00AE7F0B">
            <w:pPr>
              <w:numPr>
                <w:ilvl w:val="1"/>
                <w:numId w:val="46"/>
              </w:numPr>
              <w:spacing w:after="160"/>
              <w:contextualSpacing/>
              <w:rPr>
                <w:rFonts w:eastAsia="Aptos" w:cs="Times New Roman"/>
                <w:b/>
                <w:bCs/>
                <w:kern w:val="2"/>
                <w:szCs w:val="24"/>
                <w14:ligatures w14:val="standardContextual"/>
              </w:rPr>
            </w:pPr>
            <w:r w:rsidRPr="00A02E37">
              <w:rPr>
                <w:rFonts w:eastAsia="Aptos" w:cs="Times New Roman"/>
                <w:kern w:val="2"/>
                <w:szCs w:val="24"/>
                <w14:ligatures w14:val="standardContextual"/>
              </w:rPr>
              <w:t>WCU (</w:t>
            </w:r>
            <w:proofErr w:type="spellStart"/>
            <w:r w:rsidRPr="00A02E37">
              <w:rPr>
                <w:rFonts w:eastAsia="Aptos" w:cs="Times New Roman"/>
                <w:kern w:val="2"/>
                <w:szCs w:val="24"/>
                <w14:ligatures w14:val="standardContextual"/>
              </w:rPr>
              <w:t>Water</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Cooling</w:t>
            </w:r>
            <w:proofErr w:type="spellEnd"/>
            <w:r w:rsidRPr="00A02E37">
              <w:rPr>
                <w:rFonts w:eastAsia="Aptos" w:cs="Times New Roman"/>
                <w:kern w:val="2"/>
                <w:szCs w:val="24"/>
                <w14:ligatures w14:val="standardContextual"/>
              </w:rPr>
              <w:t xml:space="preserve"> </w:t>
            </w:r>
            <w:proofErr w:type="spellStart"/>
            <w:r w:rsidRPr="00A02E37">
              <w:rPr>
                <w:rFonts w:eastAsia="Aptos" w:cs="Times New Roman"/>
                <w:kern w:val="2"/>
                <w:szCs w:val="24"/>
                <w14:ligatures w14:val="standardContextual"/>
              </w:rPr>
              <w:t>Unit</w:t>
            </w:r>
            <w:proofErr w:type="spellEnd"/>
            <w:r w:rsidRPr="00A02E37">
              <w:rPr>
                <w:rFonts w:eastAsia="Aptos" w:cs="Times New Roman"/>
                <w:kern w:val="2"/>
                <w:szCs w:val="24"/>
                <w14:ligatures w14:val="standardContextual"/>
              </w:rPr>
              <w:t>):</w:t>
            </w:r>
          </w:p>
          <w:p w14:paraId="400A969F" w14:textId="77777777" w:rsidR="00AE7F0B" w:rsidRPr="00A02E37" w:rsidRDefault="00AE7F0B" w:rsidP="00AE7F0B">
            <w:pPr>
              <w:numPr>
                <w:ilvl w:val="0"/>
                <w:numId w:val="49"/>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galvenais dzesēšanas bloks,</w:t>
            </w:r>
          </w:p>
          <w:p w14:paraId="714138EF" w14:textId="77777777" w:rsidR="00AE7F0B" w:rsidRPr="00A02E37" w:rsidRDefault="00AE7F0B" w:rsidP="00AE7F0B">
            <w:pPr>
              <w:numPr>
                <w:ilvl w:val="0"/>
                <w:numId w:val="49"/>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cirkulācijas sūkņi,</w:t>
            </w:r>
          </w:p>
          <w:p w14:paraId="6E322D98" w14:textId="77777777" w:rsidR="00AE7F0B" w:rsidRPr="00A02E37" w:rsidRDefault="00AE7F0B" w:rsidP="00AE7F0B">
            <w:pPr>
              <w:numPr>
                <w:ilvl w:val="0"/>
                <w:numId w:val="49"/>
              </w:numPr>
              <w:spacing w:after="160"/>
              <w:contextualSpacing/>
              <w:rPr>
                <w:rFonts w:eastAsia="Aptos" w:cs="Times New Roman"/>
                <w:kern w:val="2"/>
                <w:szCs w:val="24"/>
                <w14:ligatures w14:val="standardContextual"/>
              </w:rPr>
            </w:pPr>
            <w:proofErr w:type="spellStart"/>
            <w:r w:rsidRPr="00A02E37">
              <w:rPr>
                <w:rFonts w:eastAsia="Aptos" w:cs="Times New Roman"/>
                <w:kern w:val="2"/>
                <w:szCs w:val="24"/>
                <w14:ligatures w14:val="standardContextual"/>
              </w:rPr>
              <w:t>siltummaiņi</w:t>
            </w:r>
            <w:proofErr w:type="spellEnd"/>
            <w:r w:rsidRPr="00A02E37">
              <w:rPr>
                <w:rFonts w:eastAsia="Aptos" w:cs="Times New Roman"/>
                <w:kern w:val="2"/>
                <w:szCs w:val="24"/>
                <w14:ligatures w14:val="standardContextual"/>
              </w:rPr>
              <w:t>,</w:t>
            </w:r>
          </w:p>
          <w:p w14:paraId="160C1B54" w14:textId="77777777" w:rsidR="00AE7F0B" w:rsidRPr="00A02E37" w:rsidRDefault="00AE7F0B" w:rsidP="00AE7F0B">
            <w:pPr>
              <w:numPr>
                <w:ilvl w:val="0"/>
                <w:numId w:val="49"/>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caurules līdz paātrinātājam.</w:t>
            </w:r>
          </w:p>
          <w:p w14:paraId="698129C6"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Detektoru sistēma</w:t>
            </w:r>
          </w:p>
          <w:p w14:paraId="1B2C7CFB" w14:textId="77777777" w:rsidR="00AE7F0B" w:rsidRPr="00A02E37" w:rsidRDefault="00AE7F0B" w:rsidP="00AE7F0B">
            <w:pPr>
              <w:numPr>
                <w:ilvl w:val="0"/>
                <w:numId w:val="50"/>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Vertikālā detektoru sija ar detektoriem.</w:t>
            </w:r>
          </w:p>
          <w:p w14:paraId="14C359D1" w14:textId="77777777" w:rsidR="00AE7F0B" w:rsidRPr="00A02E37" w:rsidRDefault="00AE7F0B" w:rsidP="00AE7F0B">
            <w:pPr>
              <w:numPr>
                <w:ilvl w:val="0"/>
                <w:numId w:val="50"/>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Horizontālā detektoru sija ar detektoriem.</w:t>
            </w:r>
          </w:p>
          <w:p w14:paraId="255955FC" w14:textId="77777777" w:rsidR="00AE7F0B" w:rsidRPr="00A02E37" w:rsidRDefault="00AE7F0B" w:rsidP="00AE7F0B">
            <w:pPr>
              <w:numPr>
                <w:ilvl w:val="0"/>
                <w:numId w:val="50"/>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MCB-H mezgls (detektoru vadības modulis).</w:t>
            </w:r>
          </w:p>
          <w:p w14:paraId="6F445AB8"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Portāls un kustības sistēma</w:t>
            </w:r>
          </w:p>
          <w:p w14:paraId="2C592B33" w14:textId="77777777" w:rsidR="00AE7F0B" w:rsidRPr="00A02E37" w:rsidRDefault="00AE7F0B" w:rsidP="00AE7F0B">
            <w:pPr>
              <w:numPr>
                <w:ilvl w:val="0"/>
                <w:numId w:val="51"/>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Piedziņas motors.</w:t>
            </w:r>
          </w:p>
          <w:p w14:paraId="73DAFBCC" w14:textId="77777777" w:rsidR="00AE7F0B" w:rsidRPr="00A02E37" w:rsidRDefault="00AE7F0B" w:rsidP="00AE7F0B">
            <w:pPr>
              <w:numPr>
                <w:ilvl w:val="0"/>
                <w:numId w:val="51"/>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Kustības piedziņas mehānisms.</w:t>
            </w:r>
          </w:p>
          <w:p w14:paraId="32FAAAC2" w14:textId="77777777" w:rsidR="00AE7F0B" w:rsidRPr="00A02E37" w:rsidRDefault="00AE7F0B" w:rsidP="00AE7F0B">
            <w:pPr>
              <w:numPr>
                <w:ilvl w:val="0"/>
                <w:numId w:val="51"/>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Pozicionēšanas sensori.</w:t>
            </w:r>
          </w:p>
          <w:p w14:paraId="5575B2CF"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Iekārtas kabīne (</w:t>
            </w:r>
            <w:proofErr w:type="spellStart"/>
            <w:r w:rsidRPr="00A02E37">
              <w:rPr>
                <w:rFonts w:eastAsia="Aptos" w:cs="Times New Roman"/>
                <w:b/>
                <w:bCs/>
                <w:kern w:val="2"/>
                <w:szCs w:val="24"/>
                <w14:ligatures w14:val="standardContextual"/>
              </w:rPr>
              <w:t>Equipment</w:t>
            </w:r>
            <w:proofErr w:type="spellEnd"/>
            <w:r w:rsidRPr="00A02E37">
              <w:rPr>
                <w:rFonts w:eastAsia="Aptos" w:cs="Times New Roman"/>
                <w:b/>
                <w:bCs/>
                <w:kern w:val="2"/>
                <w:szCs w:val="24"/>
                <w14:ligatures w14:val="standardContextual"/>
              </w:rPr>
              <w:t xml:space="preserve"> </w:t>
            </w:r>
            <w:proofErr w:type="spellStart"/>
            <w:r w:rsidRPr="00A02E37">
              <w:rPr>
                <w:rFonts w:eastAsia="Aptos" w:cs="Times New Roman"/>
                <w:b/>
                <w:bCs/>
                <w:kern w:val="2"/>
                <w:szCs w:val="24"/>
                <w14:ligatures w14:val="standardContextual"/>
              </w:rPr>
              <w:t>Cabin</w:t>
            </w:r>
            <w:proofErr w:type="spellEnd"/>
            <w:r w:rsidRPr="00A02E37">
              <w:rPr>
                <w:rFonts w:eastAsia="Aptos" w:cs="Times New Roman"/>
                <w:b/>
                <w:bCs/>
                <w:kern w:val="2"/>
                <w:szCs w:val="24"/>
                <w14:ligatures w14:val="standardContextual"/>
              </w:rPr>
              <w:t>)</w:t>
            </w:r>
          </w:p>
          <w:p w14:paraId="1F59A357" w14:textId="77777777" w:rsidR="00AE7F0B" w:rsidRPr="00A02E37" w:rsidRDefault="00AE7F0B" w:rsidP="00AE7F0B">
            <w:pPr>
              <w:numPr>
                <w:ilvl w:val="1"/>
                <w:numId w:val="46"/>
              </w:numPr>
              <w:spacing w:after="160"/>
              <w:contextualSpacing/>
              <w:rPr>
                <w:rFonts w:eastAsia="Aptos" w:cs="Times New Roman"/>
                <w:b/>
                <w:bCs/>
                <w:kern w:val="2"/>
                <w:szCs w:val="24"/>
                <w14:ligatures w14:val="standardContextual"/>
              </w:rPr>
            </w:pPr>
            <w:r w:rsidRPr="00A02E37">
              <w:rPr>
                <w:rFonts w:eastAsia="Aptos" w:cs="Times New Roman"/>
                <w:kern w:val="2"/>
                <w:szCs w:val="24"/>
                <w14:ligatures w14:val="standardContextual"/>
              </w:rPr>
              <w:t>Automātikas komponentes:</w:t>
            </w:r>
          </w:p>
          <w:p w14:paraId="4CDC08E9" w14:textId="77777777" w:rsidR="00AE7F0B" w:rsidRPr="00A02E37" w:rsidRDefault="00AE7F0B" w:rsidP="00AE7F0B">
            <w:pPr>
              <w:numPr>
                <w:ilvl w:val="0"/>
                <w:numId w:val="52"/>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PLC kontrolieri,</w:t>
            </w:r>
          </w:p>
          <w:p w14:paraId="304EB759" w14:textId="77777777" w:rsidR="00AE7F0B" w:rsidRPr="00A02E37" w:rsidRDefault="00AE7F0B" w:rsidP="00AE7F0B">
            <w:pPr>
              <w:numPr>
                <w:ilvl w:val="0"/>
                <w:numId w:val="52"/>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frekvenču pārveidotāji (invertori),</w:t>
            </w:r>
          </w:p>
          <w:p w14:paraId="56DCAFF7" w14:textId="77777777" w:rsidR="00AE7F0B" w:rsidRPr="00A02E37" w:rsidRDefault="00AE7F0B" w:rsidP="00AE7F0B">
            <w:pPr>
              <w:numPr>
                <w:ilvl w:val="0"/>
                <w:numId w:val="52"/>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drošības releji,</w:t>
            </w:r>
          </w:p>
          <w:p w14:paraId="6B578061" w14:textId="77777777" w:rsidR="00AE7F0B" w:rsidRPr="00A02E37" w:rsidRDefault="00AE7F0B" w:rsidP="00AE7F0B">
            <w:pPr>
              <w:numPr>
                <w:ilvl w:val="0"/>
                <w:numId w:val="52"/>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I/O moduļi.</w:t>
            </w:r>
          </w:p>
          <w:p w14:paraId="16E4E76D"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Operatora / vadības kabīne (</w:t>
            </w:r>
            <w:proofErr w:type="spellStart"/>
            <w:r w:rsidRPr="00A02E37">
              <w:rPr>
                <w:rFonts w:eastAsia="Aptos" w:cs="Times New Roman"/>
                <w:b/>
                <w:bCs/>
                <w:kern w:val="2"/>
                <w:szCs w:val="24"/>
                <w14:ligatures w14:val="standardContextual"/>
              </w:rPr>
              <w:t>Control</w:t>
            </w:r>
            <w:proofErr w:type="spellEnd"/>
            <w:r w:rsidRPr="00A02E37">
              <w:rPr>
                <w:rFonts w:eastAsia="Aptos" w:cs="Times New Roman"/>
                <w:b/>
                <w:bCs/>
                <w:kern w:val="2"/>
                <w:szCs w:val="24"/>
                <w14:ligatures w14:val="standardContextual"/>
              </w:rPr>
              <w:t xml:space="preserve"> </w:t>
            </w:r>
            <w:proofErr w:type="spellStart"/>
            <w:r w:rsidRPr="00A02E37">
              <w:rPr>
                <w:rFonts w:eastAsia="Aptos" w:cs="Times New Roman"/>
                <w:b/>
                <w:bCs/>
                <w:kern w:val="2"/>
                <w:szCs w:val="24"/>
                <w14:ligatures w14:val="standardContextual"/>
              </w:rPr>
              <w:t>Cabin</w:t>
            </w:r>
            <w:proofErr w:type="spellEnd"/>
            <w:r w:rsidRPr="00A02E37">
              <w:rPr>
                <w:rFonts w:eastAsia="Aptos" w:cs="Times New Roman"/>
                <w:b/>
                <w:bCs/>
                <w:kern w:val="2"/>
                <w:szCs w:val="24"/>
                <w14:ligatures w14:val="standardContextual"/>
              </w:rPr>
              <w:t>)</w:t>
            </w:r>
          </w:p>
          <w:p w14:paraId="668F0082" w14:textId="77777777" w:rsidR="00AE7F0B" w:rsidRPr="00A02E37" w:rsidRDefault="00AE7F0B" w:rsidP="00AE7F0B">
            <w:pPr>
              <w:numPr>
                <w:ilvl w:val="0"/>
                <w:numId w:val="53"/>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PLC sistēma,</w:t>
            </w:r>
          </w:p>
          <w:p w14:paraId="1713791C" w14:textId="77777777" w:rsidR="00AE7F0B" w:rsidRPr="00A02E37" w:rsidRDefault="00AE7F0B" w:rsidP="00AE7F0B">
            <w:pPr>
              <w:numPr>
                <w:ilvl w:val="0"/>
                <w:numId w:val="53"/>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vadības interfeiss,</w:t>
            </w:r>
          </w:p>
          <w:p w14:paraId="6119E0A4" w14:textId="77777777" w:rsidR="00AE7F0B" w:rsidRPr="00A02E37" w:rsidRDefault="00AE7F0B" w:rsidP="00AE7F0B">
            <w:pPr>
              <w:numPr>
                <w:ilvl w:val="0"/>
                <w:numId w:val="53"/>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HMI sistēma.</w:t>
            </w:r>
          </w:p>
          <w:p w14:paraId="38CBD9A2"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Sadales skapji</w:t>
            </w:r>
          </w:p>
          <w:p w14:paraId="7F68DE76" w14:textId="77777777" w:rsidR="00AE7F0B" w:rsidRPr="00A02E37" w:rsidRDefault="00AE7F0B" w:rsidP="00AE7F0B">
            <w:pPr>
              <w:numPr>
                <w:ilvl w:val="1"/>
                <w:numId w:val="46"/>
              </w:numPr>
              <w:spacing w:after="160"/>
              <w:contextualSpacing/>
              <w:rPr>
                <w:rFonts w:eastAsia="Aptos" w:cs="Times New Roman"/>
                <w:b/>
                <w:bCs/>
                <w:kern w:val="2"/>
                <w:szCs w:val="24"/>
                <w14:ligatures w14:val="standardContextual"/>
              </w:rPr>
            </w:pPr>
            <w:r w:rsidRPr="00A02E37">
              <w:rPr>
                <w:rFonts w:eastAsia="Aptos" w:cs="Times New Roman"/>
                <w:kern w:val="2"/>
                <w:szCs w:val="24"/>
                <w14:ligatures w14:val="standardContextual"/>
              </w:rPr>
              <w:t>Sadales skapji pilnā komplektācijā vai komponentu līmenī:</w:t>
            </w:r>
          </w:p>
          <w:p w14:paraId="752B4110" w14:textId="77777777" w:rsidR="00AE7F0B" w:rsidRPr="00A02E37" w:rsidRDefault="00AE7F0B" w:rsidP="00AE7F0B">
            <w:pPr>
              <w:numPr>
                <w:ilvl w:val="0"/>
                <w:numId w:val="54"/>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PLC,</w:t>
            </w:r>
          </w:p>
          <w:p w14:paraId="176BE7BE" w14:textId="77777777" w:rsidR="00AE7F0B" w:rsidRPr="00A02E37" w:rsidRDefault="00AE7F0B" w:rsidP="00AE7F0B">
            <w:pPr>
              <w:numPr>
                <w:ilvl w:val="0"/>
                <w:numId w:val="54"/>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luksoforu vadības kontrolieri,</w:t>
            </w:r>
          </w:p>
          <w:p w14:paraId="21A63147" w14:textId="77777777" w:rsidR="00AE7F0B" w:rsidRPr="00A02E37" w:rsidRDefault="00AE7F0B" w:rsidP="00AE7F0B">
            <w:pPr>
              <w:numPr>
                <w:ilvl w:val="0"/>
                <w:numId w:val="54"/>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ievada slēdži,</w:t>
            </w:r>
          </w:p>
          <w:p w14:paraId="7FBD2EAE" w14:textId="77777777" w:rsidR="00AE7F0B" w:rsidRPr="00A02E37" w:rsidRDefault="00AE7F0B" w:rsidP="00AE7F0B">
            <w:pPr>
              <w:numPr>
                <w:ilvl w:val="0"/>
                <w:numId w:val="54"/>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aizsardzības releji,</w:t>
            </w:r>
          </w:p>
          <w:p w14:paraId="17B4CAC4" w14:textId="77777777" w:rsidR="00AE7F0B" w:rsidRPr="00A02E37" w:rsidRDefault="00AE7F0B" w:rsidP="00AE7F0B">
            <w:pPr>
              <w:numPr>
                <w:ilvl w:val="0"/>
                <w:numId w:val="54"/>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lastRenderedPageBreak/>
              <w:t>mērierīces.</w:t>
            </w:r>
          </w:p>
          <w:p w14:paraId="0DD376EE" w14:textId="77777777" w:rsidR="00AE7F0B" w:rsidRPr="00A02E37" w:rsidRDefault="00AE7F0B" w:rsidP="00AE7F0B">
            <w:pPr>
              <w:spacing w:after="160"/>
              <w:rPr>
                <w:rFonts w:eastAsia="Aptos" w:cs="Times New Roman"/>
                <w:b/>
                <w:bCs/>
                <w:kern w:val="2"/>
                <w:szCs w:val="24"/>
                <w14:ligatures w14:val="standardContextual"/>
              </w:rPr>
            </w:pPr>
          </w:p>
          <w:p w14:paraId="04864502" w14:textId="77777777" w:rsidR="00AE7F0B" w:rsidRPr="00A02E37" w:rsidRDefault="00AE7F0B" w:rsidP="00AE7F0B">
            <w:pPr>
              <w:spacing w:after="160"/>
              <w:rPr>
                <w:rFonts w:eastAsia="Aptos" w:cs="Times New Roman"/>
                <w:b/>
                <w:bCs/>
                <w:kern w:val="2"/>
                <w:szCs w:val="24"/>
                <w14:ligatures w14:val="standardContextual"/>
              </w:rPr>
            </w:pPr>
            <w:r w:rsidRPr="00A02E37">
              <w:rPr>
                <w:rFonts w:eastAsia="Aptos" w:cs="Times New Roman"/>
                <w:b/>
                <w:bCs/>
                <w:kern w:val="2"/>
                <w:szCs w:val="24"/>
                <w14:ligatures w14:val="standardContextual"/>
              </w:rPr>
              <w:t>Papildu drošības un kontroles sistēmas</w:t>
            </w:r>
          </w:p>
          <w:p w14:paraId="2E120836"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UVSS sistēma (</w:t>
            </w:r>
            <w:proofErr w:type="spellStart"/>
            <w:r w:rsidRPr="00A02E37">
              <w:rPr>
                <w:rFonts w:eastAsia="Aptos" w:cs="Times New Roman"/>
                <w:b/>
                <w:bCs/>
                <w:kern w:val="2"/>
                <w:szCs w:val="24"/>
                <w14:ligatures w14:val="standardContextual"/>
              </w:rPr>
              <w:t>Under</w:t>
            </w:r>
            <w:proofErr w:type="spellEnd"/>
            <w:r w:rsidRPr="00A02E37">
              <w:rPr>
                <w:rFonts w:eastAsia="Aptos" w:cs="Times New Roman"/>
                <w:b/>
                <w:bCs/>
                <w:kern w:val="2"/>
                <w:szCs w:val="24"/>
                <w14:ligatures w14:val="standardContextual"/>
              </w:rPr>
              <w:t xml:space="preserve"> </w:t>
            </w:r>
            <w:proofErr w:type="spellStart"/>
            <w:r w:rsidRPr="00A02E37">
              <w:rPr>
                <w:rFonts w:eastAsia="Aptos" w:cs="Times New Roman"/>
                <w:b/>
                <w:bCs/>
                <w:kern w:val="2"/>
                <w:szCs w:val="24"/>
                <w14:ligatures w14:val="standardContextual"/>
              </w:rPr>
              <w:t>Vehicle</w:t>
            </w:r>
            <w:proofErr w:type="spellEnd"/>
            <w:r w:rsidRPr="00A02E37">
              <w:rPr>
                <w:rFonts w:eastAsia="Aptos" w:cs="Times New Roman"/>
                <w:b/>
                <w:bCs/>
                <w:kern w:val="2"/>
                <w:szCs w:val="24"/>
                <w14:ligatures w14:val="standardContextual"/>
              </w:rPr>
              <w:t xml:space="preserve"> </w:t>
            </w:r>
            <w:proofErr w:type="spellStart"/>
            <w:r w:rsidRPr="00A02E37">
              <w:rPr>
                <w:rFonts w:eastAsia="Aptos" w:cs="Times New Roman"/>
                <w:b/>
                <w:bCs/>
                <w:kern w:val="2"/>
                <w:szCs w:val="24"/>
                <w14:ligatures w14:val="standardContextual"/>
              </w:rPr>
              <w:t>Scanning</w:t>
            </w:r>
            <w:proofErr w:type="spellEnd"/>
            <w:r w:rsidRPr="00A02E37">
              <w:rPr>
                <w:rFonts w:eastAsia="Aptos" w:cs="Times New Roman"/>
                <w:b/>
                <w:bCs/>
                <w:kern w:val="2"/>
                <w:szCs w:val="24"/>
                <w14:ligatures w14:val="standardContextual"/>
              </w:rPr>
              <w:t xml:space="preserve"> </w:t>
            </w:r>
            <w:proofErr w:type="spellStart"/>
            <w:r w:rsidRPr="00A02E37">
              <w:rPr>
                <w:rFonts w:eastAsia="Aptos" w:cs="Times New Roman"/>
                <w:b/>
                <w:bCs/>
                <w:kern w:val="2"/>
                <w:szCs w:val="24"/>
                <w14:ligatures w14:val="standardContextual"/>
              </w:rPr>
              <w:t>System</w:t>
            </w:r>
            <w:proofErr w:type="spellEnd"/>
            <w:r w:rsidRPr="00A02E37">
              <w:rPr>
                <w:rFonts w:eastAsia="Aptos" w:cs="Times New Roman"/>
                <w:b/>
                <w:bCs/>
                <w:kern w:val="2"/>
                <w:szCs w:val="24"/>
                <w14:ligatures w14:val="standardContextual"/>
              </w:rPr>
              <w:t>)</w:t>
            </w:r>
          </w:p>
          <w:p w14:paraId="04D1D916" w14:textId="77777777" w:rsidR="00AE7F0B" w:rsidRPr="00A02E37" w:rsidRDefault="00AE7F0B" w:rsidP="00AE7F0B">
            <w:pPr>
              <w:numPr>
                <w:ilvl w:val="0"/>
                <w:numId w:val="55"/>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UVSS kameras,</w:t>
            </w:r>
          </w:p>
          <w:p w14:paraId="0181CFD4"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CCR sistēma</w:t>
            </w:r>
          </w:p>
          <w:p w14:paraId="6C0E9948" w14:textId="77777777" w:rsidR="00AE7F0B" w:rsidRPr="00A02E37" w:rsidRDefault="00AE7F0B" w:rsidP="00AE7F0B">
            <w:pPr>
              <w:numPr>
                <w:ilvl w:val="0"/>
                <w:numId w:val="56"/>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kameras,</w:t>
            </w:r>
          </w:p>
          <w:p w14:paraId="071B51E0" w14:textId="77777777" w:rsidR="00AE7F0B" w:rsidRPr="00A02E37" w:rsidRDefault="00AE7F0B" w:rsidP="00AE7F0B">
            <w:pPr>
              <w:numPr>
                <w:ilvl w:val="0"/>
                <w:numId w:val="56"/>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IR sensori,</w:t>
            </w:r>
          </w:p>
          <w:p w14:paraId="3E20C0FD" w14:textId="77777777" w:rsidR="00AE7F0B" w:rsidRPr="00A02E37" w:rsidRDefault="00AE7F0B" w:rsidP="00AE7F0B">
            <w:pPr>
              <w:numPr>
                <w:ilvl w:val="0"/>
                <w:numId w:val="56"/>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zibspuldzes,</w:t>
            </w:r>
          </w:p>
          <w:p w14:paraId="09986FBF" w14:textId="77777777" w:rsidR="00AE7F0B" w:rsidRPr="00A02E37" w:rsidRDefault="00AE7F0B" w:rsidP="00AE7F0B">
            <w:pPr>
              <w:numPr>
                <w:ilvl w:val="0"/>
                <w:numId w:val="56"/>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datu apstrādes bloks (operatora telpā / serveru telpā).</w:t>
            </w:r>
          </w:p>
          <w:p w14:paraId="3803B0F4"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LPR sistēma</w:t>
            </w:r>
          </w:p>
          <w:p w14:paraId="00A84DD2" w14:textId="77777777" w:rsidR="00AE7F0B" w:rsidRPr="00A02E37" w:rsidRDefault="00AE7F0B" w:rsidP="00AE7F0B">
            <w:pPr>
              <w:numPr>
                <w:ilvl w:val="0"/>
                <w:numId w:val="57"/>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numura atpazīšanas kameras,</w:t>
            </w:r>
          </w:p>
          <w:p w14:paraId="53BE2836" w14:textId="77777777" w:rsidR="00AE7F0B" w:rsidRPr="00A02E37" w:rsidRDefault="00AE7F0B" w:rsidP="00AE7F0B">
            <w:pPr>
              <w:numPr>
                <w:ilvl w:val="0"/>
                <w:numId w:val="57"/>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IR sensori,</w:t>
            </w:r>
          </w:p>
          <w:p w14:paraId="41197EED" w14:textId="77777777" w:rsidR="00AE7F0B" w:rsidRPr="00A02E37" w:rsidRDefault="00AE7F0B" w:rsidP="00AE7F0B">
            <w:pPr>
              <w:numPr>
                <w:ilvl w:val="0"/>
                <w:numId w:val="57"/>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zibspuldzes.</w:t>
            </w:r>
          </w:p>
          <w:p w14:paraId="0A273134"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Papildu sensori</w:t>
            </w:r>
          </w:p>
          <w:p w14:paraId="1C9748F9" w14:textId="77777777" w:rsidR="00AE7F0B" w:rsidRPr="00A02E37" w:rsidRDefault="00AE7F0B" w:rsidP="00AE7F0B">
            <w:pPr>
              <w:numPr>
                <w:ilvl w:val="0"/>
                <w:numId w:val="58"/>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infrasarkanie sensori pie iebrauktuves,</w:t>
            </w:r>
          </w:p>
          <w:p w14:paraId="72D72AF5" w14:textId="77777777" w:rsidR="00AE7F0B" w:rsidRPr="00A02E37" w:rsidRDefault="00AE7F0B" w:rsidP="00AE7F0B">
            <w:pPr>
              <w:numPr>
                <w:ilvl w:val="0"/>
                <w:numId w:val="58"/>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sensori ar vadības bloku.</w:t>
            </w:r>
          </w:p>
          <w:p w14:paraId="4397E32D" w14:textId="77777777" w:rsidR="00AE7F0B" w:rsidRPr="00A02E37" w:rsidRDefault="00AE7F0B" w:rsidP="00AE7F0B">
            <w:pPr>
              <w:numPr>
                <w:ilvl w:val="0"/>
                <w:numId w:val="46"/>
              </w:numPr>
              <w:spacing w:after="160"/>
              <w:contextualSpacing/>
              <w:rPr>
                <w:rFonts w:eastAsia="Aptos" w:cs="Times New Roman"/>
                <w:b/>
                <w:bCs/>
                <w:kern w:val="2"/>
                <w:szCs w:val="24"/>
                <w14:ligatures w14:val="standardContextual"/>
              </w:rPr>
            </w:pPr>
            <w:r w:rsidRPr="00A02E37">
              <w:rPr>
                <w:rFonts w:eastAsia="Aptos" w:cs="Times New Roman"/>
                <w:b/>
                <w:bCs/>
                <w:kern w:val="2"/>
                <w:szCs w:val="24"/>
                <w14:ligatures w14:val="standardContextual"/>
              </w:rPr>
              <w:t>Drošības sistēmas</w:t>
            </w:r>
          </w:p>
          <w:p w14:paraId="34F31E06" w14:textId="77777777" w:rsidR="00AE7F0B" w:rsidRPr="00A02E37" w:rsidRDefault="00AE7F0B" w:rsidP="00AE7F0B">
            <w:pPr>
              <w:numPr>
                <w:ilvl w:val="0"/>
                <w:numId w:val="59"/>
              </w:numPr>
              <w:spacing w:after="160"/>
              <w:contextualSpacing/>
              <w:rPr>
                <w:rFonts w:eastAsia="Aptos" w:cs="Times New Roman"/>
                <w:kern w:val="2"/>
                <w:szCs w:val="24"/>
                <w14:ligatures w14:val="standardContextual"/>
              </w:rPr>
            </w:pPr>
            <w:proofErr w:type="spellStart"/>
            <w:r w:rsidRPr="00A02E37">
              <w:rPr>
                <w:rFonts w:eastAsia="Aptos" w:cs="Times New Roman"/>
                <w:kern w:val="2"/>
                <w:szCs w:val="24"/>
                <w14:ligatures w14:val="standardContextual"/>
              </w:rPr>
              <w:t>pretsadursmes</w:t>
            </w:r>
            <w:proofErr w:type="spellEnd"/>
            <w:r w:rsidRPr="00A02E37">
              <w:rPr>
                <w:rFonts w:eastAsia="Aptos" w:cs="Times New Roman"/>
                <w:kern w:val="2"/>
                <w:szCs w:val="24"/>
                <w14:ligatures w14:val="standardContextual"/>
              </w:rPr>
              <w:t xml:space="preserve"> sensori (Vientuļi),</w:t>
            </w:r>
          </w:p>
          <w:p w14:paraId="6DD39C80" w14:textId="77777777" w:rsidR="00AE7F0B" w:rsidRPr="00A02E37" w:rsidRDefault="00AE7F0B" w:rsidP="00AE7F0B">
            <w:pPr>
              <w:numPr>
                <w:ilvl w:val="0"/>
                <w:numId w:val="59"/>
              </w:numPr>
              <w:spacing w:after="160"/>
              <w:contextualSpacing/>
              <w:rPr>
                <w:rFonts w:eastAsia="Aptos" w:cs="Times New Roman"/>
                <w:kern w:val="2"/>
                <w:szCs w:val="24"/>
                <w14:ligatures w14:val="standardContextual"/>
              </w:rPr>
            </w:pPr>
            <w:r w:rsidRPr="00A02E37">
              <w:rPr>
                <w:rFonts w:eastAsia="Aptos" w:cs="Times New Roman"/>
                <w:kern w:val="2"/>
                <w:szCs w:val="24"/>
                <w14:ligatures w14:val="standardContextual"/>
              </w:rPr>
              <w:t>barjeru kontrolieri.</w:t>
            </w:r>
          </w:p>
          <w:p w14:paraId="3732A3EB" w14:textId="77777777" w:rsidR="00AE7F0B" w:rsidRPr="00AE7F0B" w:rsidRDefault="00AE7F0B" w:rsidP="00AE7F0B">
            <w:pPr>
              <w:contextualSpacing/>
              <w:jc w:val="both"/>
              <w:rPr>
                <w:rFonts w:eastAsia="Times New Roman" w:cs="Times New Roman"/>
                <w:bCs/>
                <w:szCs w:val="24"/>
                <w:lang w:eastAsia="lv-LV"/>
              </w:rPr>
            </w:pPr>
          </w:p>
        </w:tc>
        <w:tc>
          <w:tcPr>
            <w:tcW w:w="1243" w:type="pct"/>
          </w:tcPr>
          <w:p w14:paraId="2CC72FA3" w14:textId="77777777" w:rsidR="00AE7F0B" w:rsidRPr="00326F16" w:rsidRDefault="00AE7F0B" w:rsidP="00AE7F0B">
            <w:pPr>
              <w:ind w:left="148" w:right="126"/>
              <w:jc w:val="both"/>
              <w:rPr>
                <w:rFonts w:eastAsia="Times New Roman" w:cs="Times New Roman"/>
                <w:szCs w:val="24"/>
                <w:lang w:eastAsia="lv-LV"/>
              </w:rPr>
            </w:pPr>
          </w:p>
        </w:tc>
      </w:tr>
      <w:tr w:rsidR="00AE7F0B" w:rsidRPr="00326F16" w14:paraId="42A25E2D" w14:textId="77777777" w:rsidTr="002B4268">
        <w:trPr>
          <w:trHeight w:val="310"/>
        </w:trPr>
        <w:tc>
          <w:tcPr>
            <w:tcW w:w="590" w:type="pct"/>
            <w:tcBorders>
              <w:top w:val="single" w:sz="4" w:space="0" w:color="auto"/>
            </w:tcBorders>
            <w:vAlign w:val="center"/>
          </w:tcPr>
          <w:p w14:paraId="29CDD910" w14:textId="46A128F1" w:rsidR="00AE7F0B" w:rsidRDefault="00AE7F0B" w:rsidP="00AE7F0B">
            <w:pPr>
              <w:ind w:left="360"/>
              <w:jc w:val="center"/>
              <w:rPr>
                <w:rFonts w:eastAsia="Times New Roman" w:cs="Times New Roman"/>
                <w:bCs/>
                <w:szCs w:val="24"/>
                <w:lang w:eastAsia="lv-LV"/>
              </w:rPr>
            </w:pPr>
            <w:r>
              <w:rPr>
                <w:rFonts w:eastAsia="Times New Roman" w:cs="Times New Roman"/>
                <w:bCs/>
                <w:szCs w:val="24"/>
                <w:lang w:eastAsia="lv-LV"/>
              </w:rPr>
              <w:lastRenderedPageBreak/>
              <w:t>4.4.</w:t>
            </w:r>
          </w:p>
        </w:tc>
        <w:tc>
          <w:tcPr>
            <w:tcW w:w="3167" w:type="pct"/>
            <w:tcBorders>
              <w:top w:val="single" w:sz="4" w:space="0" w:color="auto"/>
            </w:tcBorders>
          </w:tcPr>
          <w:p w14:paraId="590D04C4" w14:textId="28E87738" w:rsidR="00AE7F0B" w:rsidRPr="000A2CBB" w:rsidRDefault="00AE7F0B" w:rsidP="00AE7F0B">
            <w:pPr>
              <w:spacing w:after="160"/>
              <w:ind w:left="720"/>
              <w:contextualSpacing/>
              <w:rPr>
                <w:rFonts w:eastAsia="Aptos" w:cs="Times New Roman"/>
                <w:kern w:val="2"/>
                <w:szCs w:val="24"/>
                <w14:ligatures w14:val="standardContextual"/>
              </w:rPr>
            </w:pPr>
            <w:r w:rsidRPr="000A2CBB">
              <w:rPr>
                <w:rFonts w:eastAsia="Aptos" w:cs="Times New Roman"/>
                <w:kern w:val="2"/>
                <w:szCs w:val="24"/>
                <w14:ligatures w14:val="standardContextual"/>
              </w:rPr>
              <w:t>TERITORIJAS SAKOPŠANA UN NODOŠANA</w:t>
            </w:r>
          </w:p>
        </w:tc>
        <w:tc>
          <w:tcPr>
            <w:tcW w:w="1243" w:type="pct"/>
          </w:tcPr>
          <w:p w14:paraId="637CB7C1" w14:textId="77777777" w:rsidR="00AE7F0B" w:rsidRPr="00326F16" w:rsidRDefault="00AE7F0B" w:rsidP="00AE7F0B">
            <w:pPr>
              <w:ind w:left="148" w:right="126"/>
              <w:jc w:val="both"/>
              <w:rPr>
                <w:rFonts w:eastAsia="Times New Roman" w:cs="Times New Roman"/>
                <w:szCs w:val="24"/>
                <w:lang w:eastAsia="lv-LV"/>
              </w:rPr>
            </w:pPr>
          </w:p>
        </w:tc>
      </w:tr>
      <w:tr w:rsidR="00AE7F0B" w:rsidRPr="00326F16" w14:paraId="432F9E7E" w14:textId="77777777" w:rsidTr="002B4268">
        <w:trPr>
          <w:trHeight w:val="310"/>
        </w:trPr>
        <w:tc>
          <w:tcPr>
            <w:tcW w:w="590" w:type="pct"/>
            <w:tcBorders>
              <w:top w:val="single" w:sz="4" w:space="0" w:color="auto"/>
            </w:tcBorders>
            <w:vAlign w:val="center"/>
          </w:tcPr>
          <w:p w14:paraId="6CCB6457" w14:textId="592EC309" w:rsidR="00AE7F0B" w:rsidRDefault="00AE7F0B" w:rsidP="00AE7F0B">
            <w:pPr>
              <w:ind w:left="360"/>
              <w:jc w:val="center"/>
              <w:rPr>
                <w:rFonts w:eastAsia="Times New Roman" w:cs="Times New Roman"/>
                <w:bCs/>
                <w:szCs w:val="24"/>
                <w:lang w:eastAsia="lv-LV"/>
              </w:rPr>
            </w:pPr>
            <w:r>
              <w:rPr>
                <w:rFonts w:eastAsia="Times New Roman" w:cs="Times New Roman"/>
                <w:bCs/>
                <w:szCs w:val="24"/>
                <w:lang w:eastAsia="lv-LV"/>
              </w:rPr>
              <w:t>4.4.1.</w:t>
            </w:r>
          </w:p>
        </w:tc>
        <w:tc>
          <w:tcPr>
            <w:tcW w:w="3167" w:type="pct"/>
            <w:tcBorders>
              <w:top w:val="single" w:sz="4" w:space="0" w:color="auto"/>
            </w:tcBorders>
          </w:tcPr>
          <w:p w14:paraId="1A7EE8C2" w14:textId="77777777" w:rsidR="00AE7F0B" w:rsidRPr="00623EC5" w:rsidRDefault="00AE7F0B" w:rsidP="00AE7F0B">
            <w:pPr>
              <w:contextualSpacing/>
              <w:rPr>
                <w:rFonts w:eastAsia="Times New Roman" w:cs="Times New Roman"/>
                <w:bCs/>
                <w:szCs w:val="24"/>
                <w:lang w:eastAsia="lv-LV"/>
              </w:rPr>
            </w:pPr>
            <w:r w:rsidRPr="00623EC5">
              <w:rPr>
                <w:rFonts w:eastAsia="Times New Roman" w:cs="Times New Roman"/>
                <w:bCs/>
                <w:szCs w:val="24"/>
                <w:lang w:eastAsia="lv-LV"/>
              </w:rPr>
              <w:t>• Demontāžas laikā radušos atkritumu savākšana un šķirošana.</w:t>
            </w:r>
          </w:p>
          <w:p w14:paraId="11B41EBD" w14:textId="77777777" w:rsidR="00AE7F0B" w:rsidRPr="00623EC5" w:rsidRDefault="00AE7F0B" w:rsidP="00AE7F0B">
            <w:pPr>
              <w:contextualSpacing/>
              <w:rPr>
                <w:rFonts w:eastAsia="Times New Roman" w:cs="Times New Roman"/>
                <w:bCs/>
                <w:szCs w:val="24"/>
                <w:lang w:eastAsia="lv-LV"/>
              </w:rPr>
            </w:pPr>
            <w:r w:rsidRPr="00623EC5">
              <w:rPr>
                <w:rFonts w:eastAsia="Times New Roman" w:cs="Times New Roman"/>
                <w:bCs/>
                <w:szCs w:val="24"/>
                <w:lang w:eastAsia="lv-LV"/>
              </w:rPr>
              <w:t>• Darba zonas attīrīšana no metāla atlūzām, kabeļiem un iepakojuma.</w:t>
            </w:r>
          </w:p>
          <w:p w14:paraId="460BFE58" w14:textId="77777777" w:rsidR="00AE7F0B" w:rsidRPr="00623EC5" w:rsidRDefault="00AE7F0B" w:rsidP="00AE7F0B">
            <w:pPr>
              <w:contextualSpacing/>
              <w:rPr>
                <w:rFonts w:eastAsia="Times New Roman" w:cs="Times New Roman"/>
                <w:bCs/>
                <w:szCs w:val="24"/>
                <w:lang w:eastAsia="lv-LV"/>
              </w:rPr>
            </w:pPr>
            <w:r w:rsidRPr="00623EC5">
              <w:rPr>
                <w:rFonts w:eastAsia="Times New Roman" w:cs="Times New Roman"/>
                <w:bCs/>
                <w:szCs w:val="24"/>
                <w:lang w:eastAsia="lv-LV"/>
              </w:rPr>
              <w:t>• Grīdas un virsmu tīrīšana.</w:t>
            </w:r>
          </w:p>
          <w:p w14:paraId="55294CF6" w14:textId="77777777" w:rsidR="00AE7F0B" w:rsidRPr="00623EC5" w:rsidRDefault="00AE7F0B" w:rsidP="00AE7F0B">
            <w:pPr>
              <w:contextualSpacing/>
              <w:rPr>
                <w:rFonts w:eastAsia="Times New Roman" w:cs="Times New Roman"/>
                <w:bCs/>
                <w:szCs w:val="24"/>
                <w:lang w:eastAsia="lv-LV"/>
              </w:rPr>
            </w:pPr>
            <w:r w:rsidRPr="00623EC5">
              <w:rPr>
                <w:rFonts w:eastAsia="Times New Roman" w:cs="Times New Roman"/>
                <w:bCs/>
                <w:szCs w:val="24"/>
                <w:lang w:eastAsia="lv-LV"/>
              </w:rPr>
              <w:t>• Teritorijas vizuālā pārbaude.</w:t>
            </w:r>
          </w:p>
          <w:p w14:paraId="2C7A4EC9" w14:textId="77777777" w:rsidR="00AE7F0B" w:rsidRPr="00623EC5" w:rsidRDefault="00AE7F0B" w:rsidP="00AE7F0B">
            <w:pPr>
              <w:contextualSpacing/>
              <w:rPr>
                <w:rFonts w:eastAsia="Times New Roman" w:cs="Times New Roman"/>
                <w:bCs/>
                <w:szCs w:val="24"/>
                <w:lang w:eastAsia="lv-LV"/>
              </w:rPr>
            </w:pPr>
            <w:r w:rsidRPr="00623EC5">
              <w:rPr>
                <w:rFonts w:eastAsia="Times New Roman" w:cs="Times New Roman"/>
                <w:bCs/>
                <w:szCs w:val="24"/>
                <w:lang w:eastAsia="lv-LV"/>
              </w:rPr>
              <w:t xml:space="preserve">• Teritorijas </w:t>
            </w:r>
            <w:r>
              <w:rPr>
                <w:rFonts w:eastAsia="Times New Roman" w:cs="Times New Roman"/>
                <w:bCs/>
                <w:szCs w:val="24"/>
                <w:lang w:eastAsia="lv-LV"/>
              </w:rPr>
              <w:t xml:space="preserve">un iekārtas atlikušo metāla konstrukciju </w:t>
            </w:r>
            <w:r w:rsidRPr="00623EC5">
              <w:rPr>
                <w:rFonts w:eastAsia="Times New Roman" w:cs="Times New Roman"/>
                <w:bCs/>
                <w:szCs w:val="24"/>
                <w:lang w:eastAsia="lv-LV"/>
              </w:rPr>
              <w:t>nodošana pasūtītājam / turpmākiem darbiem:</w:t>
            </w:r>
          </w:p>
          <w:p w14:paraId="6B2D518E" w14:textId="6A2CB19D" w:rsidR="00AE7F0B" w:rsidRPr="000A2CBB" w:rsidRDefault="00AE7F0B" w:rsidP="000A2CBB">
            <w:pPr>
              <w:pStyle w:val="ListParagraph"/>
              <w:numPr>
                <w:ilvl w:val="0"/>
                <w:numId w:val="45"/>
              </w:numPr>
              <w:rPr>
                <w:rFonts w:eastAsia="Times New Roman" w:cs="Times New Roman"/>
                <w:bCs/>
                <w:szCs w:val="24"/>
                <w:lang w:eastAsia="lv-LV"/>
              </w:rPr>
            </w:pPr>
            <w:r w:rsidRPr="000A2CBB">
              <w:rPr>
                <w:rFonts w:eastAsia="Times New Roman" w:cs="Times New Roman"/>
                <w:bCs/>
                <w:szCs w:val="24"/>
                <w:lang w:eastAsia="lv-LV"/>
              </w:rPr>
              <w:t xml:space="preserve"> Nodošanas-pieņemšanas akta parakstīšana;</w:t>
            </w:r>
          </w:p>
          <w:p w14:paraId="51D546F4" w14:textId="02C862FD" w:rsidR="00AE7F0B" w:rsidRPr="00AE7F0B" w:rsidRDefault="00AE7F0B" w:rsidP="000A2CBB">
            <w:pPr>
              <w:pStyle w:val="ListParagraph"/>
              <w:numPr>
                <w:ilvl w:val="0"/>
                <w:numId w:val="45"/>
              </w:numPr>
              <w:spacing w:after="160"/>
              <w:rPr>
                <w:rFonts w:eastAsia="Aptos" w:cs="Times New Roman"/>
                <w:kern w:val="2"/>
                <w:szCs w:val="24"/>
                <w14:ligatures w14:val="standardContextual"/>
              </w:rPr>
            </w:pPr>
            <w:r w:rsidRPr="000A2CBB">
              <w:rPr>
                <w:rFonts w:eastAsia="Times New Roman" w:cs="Times New Roman"/>
                <w:bCs/>
                <w:szCs w:val="24"/>
                <w:lang w:eastAsia="lv-LV"/>
              </w:rPr>
              <w:t xml:space="preserve"> </w:t>
            </w:r>
            <w:proofErr w:type="spellStart"/>
            <w:r w:rsidRPr="000A2CBB">
              <w:rPr>
                <w:rFonts w:eastAsia="Times New Roman" w:cs="Times New Roman"/>
                <w:bCs/>
                <w:szCs w:val="24"/>
                <w:lang w:eastAsia="lv-LV"/>
              </w:rPr>
              <w:t>Fotofiksācija</w:t>
            </w:r>
            <w:proofErr w:type="spellEnd"/>
            <w:r w:rsidRPr="000A2CBB">
              <w:rPr>
                <w:rFonts w:eastAsia="Times New Roman" w:cs="Times New Roman"/>
                <w:bCs/>
                <w:szCs w:val="24"/>
                <w:lang w:eastAsia="lv-LV"/>
              </w:rPr>
              <w:t xml:space="preserve"> pēc darbu pabeigšanas.</w:t>
            </w:r>
          </w:p>
        </w:tc>
        <w:tc>
          <w:tcPr>
            <w:tcW w:w="1243" w:type="pct"/>
          </w:tcPr>
          <w:p w14:paraId="7E0FE776" w14:textId="77777777" w:rsidR="00AE7F0B" w:rsidRPr="00326F16" w:rsidRDefault="00AE7F0B" w:rsidP="00AE7F0B">
            <w:pPr>
              <w:ind w:left="148" w:right="126"/>
              <w:jc w:val="both"/>
              <w:rPr>
                <w:rFonts w:eastAsia="Times New Roman" w:cs="Times New Roman"/>
                <w:szCs w:val="24"/>
                <w:lang w:eastAsia="lv-LV"/>
              </w:rPr>
            </w:pPr>
          </w:p>
        </w:tc>
      </w:tr>
      <w:tr w:rsidR="00AE7F0B" w:rsidRPr="00326F16" w14:paraId="69C0C3D3" w14:textId="77777777" w:rsidTr="002B4268">
        <w:trPr>
          <w:trHeight w:val="98"/>
        </w:trPr>
        <w:tc>
          <w:tcPr>
            <w:tcW w:w="590" w:type="pct"/>
            <w:tcBorders>
              <w:top w:val="single" w:sz="4" w:space="0" w:color="auto"/>
            </w:tcBorders>
            <w:vAlign w:val="center"/>
          </w:tcPr>
          <w:p w14:paraId="57863BE1" w14:textId="5AF3BDF2" w:rsidR="00AE7F0B" w:rsidRDefault="00AE7F0B" w:rsidP="00AE7F0B">
            <w:pPr>
              <w:ind w:left="360"/>
              <w:jc w:val="center"/>
              <w:rPr>
                <w:rFonts w:eastAsia="Times New Roman" w:cs="Times New Roman"/>
                <w:bCs/>
                <w:szCs w:val="24"/>
                <w:lang w:eastAsia="lv-LV"/>
              </w:rPr>
            </w:pPr>
            <w:r>
              <w:rPr>
                <w:rFonts w:eastAsia="Times New Roman" w:cs="Times New Roman"/>
                <w:bCs/>
                <w:szCs w:val="24"/>
                <w:lang w:eastAsia="lv-LV"/>
              </w:rPr>
              <w:t>4.5.</w:t>
            </w:r>
          </w:p>
        </w:tc>
        <w:tc>
          <w:tcPr>
            <w:tcW w:w="3167" w:type="pct"/>
            <w:tcBorders>
              <w:top w:val="single" w:sz="4" w:space="0" w:color="auto"/>
            </w:tcBorders>
          </w:tcPr>
          <w:p w14:paraId="53B41B7A" w14:textId="13E2FC4A" w:rsidR="00AE7F0B" w:rsidRPr="00623EC5" w:rsidRDefault="00AE7F0B" w:rsidP="000A2CBB">
            <w:pPr>
              <w:contextualSpacing/>
              <w:jc w:val="center"/>
              <w:rPr>
                <w:rFonts w:eastAsia="Times New Roman" w:cs="Times New Roman"/>
                <w:bCs/>
                <w:szCs w:val="24"/>
                <w:lang w:eastAsia="lv-LV"/>
              </w:rPr>
            </w:pPr>
            <w:r w:rsidRPr="00AE7F0B">
              <w:rPr>
                <w:rFonts w:eastAsia="Times New Roman" w:cs="Times New Roman"/>
                <w:bCs/>
                <w:szCs w:val="24"/>
                <w:lang w:eastAsia="lv-LV"/>
              </w:rPr>
              <w:t>NODERĪGĀ APRĪKOJUMA NODOŠANA</w:t>
            </w:r>
          </w:p>
        </w:tc>
        <w:tc>
          <w:tcPr>
            <w:tcW w:w="1243" w:type="pct"/>
          </w:tcPr>
          <w:p w14:paraId="3F8EF103" w14:textId="77777777" w:rsidR="00AE7F0B" w:rsidRPr="00326F16" w:rsidRDefault="00AE7F0B" w:rsidP="00AE7F0B">
            <w:pPr>
              <w:ind w:left="148" w:right="126"/>
              <w:jc w:val="both"/>
              <w:rPr>
                <w:rFonts w:eastAsia="Times New Roman" w:cs="Times New Roman"/>
                <w:szCs w:val="24"/>
                <w:lang w:eastAsia="lv-LV"/>
              </w:rPr>
            </w:pPr>
          </w:p>
        </w:tc>
      </w:tr>
      <w:tr w:rsidR="00AE7F0B" w:rsidRPr="00326F16" w14:paraId="746594F7" w14:textId="77777777" w:rsidTr="002B4268">
        <w:trPr>
          <w:trHeight w:val="98"/>
        </w:trPr>
        <w:tc>
          <w:tcPr>
            <w:tcW w:w="590" w:type="pct"/>
            <w:tcBorders>
              <w:top w:val="single" w:sz="4" w:space="0" w:color="auto"/>
            </w:tcBorders>
            <w:vAlign w:val="center"/>
          </w:tcPr>
          <w:p w14:paraId="781700AB" w14:textId="05D440DA" w:rsidR="00AE7F0B" w:rsidRDefault="00AE7F0B" w:rsidP="00AE7F0B">
            <w:pPr>
              <w:ind w:left="360"/>
              <w:jc w:val="center"/>
              <w:rPr>
                <w:rFonts w:eastAsia="Times New Roman" w:cs="Times New Roman"/>
                <w:bCs/>
                <w:szCs w:val="24"/>
                <w:lang w:eastAsia="lv-LV"/>
              </w:rPr>
            </w:pPr>
            <w:r>
              <w:rPr>
                <w:rFonts w:eastAsia="Times New Roman" w:cs="Times New Roman"/>
                <w:bCs/>
                <w:szCs w:val="24"/>
                <w:lang w:eastAsia="lv-LV"/>
              </w:rPr>
              <w:t>4.5.1.</w:t>
            </w:r>
          </w:p>
        </w:tc>
        <w:tc>
          <w:tcPr>
            <w:tcW w:w="3167" w:type="pct"/>
            <w:tcBorders>
              <w:top w:val="single" w:sz="4" w:space="0" w:color="auto"/>
            </w:tcBorders>
          </w:tcPr>
          <w:p w14:paraId="12E9C6E5" w14:textId="77777777" w:rsidR="00AE7F0B" w:rsidRDefault="00AE7F0B" w:rsidP="00AE7F0B">
            <w:pPr>
              <w:contextualSpacing/>
              <w:rPr>
                <w:rFonts w:eastAsia="Times New Roman" w:cs="Times New Roman"/>
                <w:bCs/>
                <w:szCs w:val="24"/>
                <w:lang w:eastAsia="lv-LV"/>
              </w:rPr>
            </w:pPr>
            <w:r w:rsidRPr="00623EC5">
              <w:rPr>
                <w:rFonts w:eastAsia="Times New Roman" w:cs="Times New Roman"/>
                <w:bCs/>
                <w:szCs w:val="24"/>
                <w:lang w:eastAsia="lv-LV"/>
              </w:rPr>
              <w:t>•</w:t>
            </w:r>
            <w:r>
              <w:rPr>
                <w:rFonts w:eastAsia="Times New Roman" w:cs="Times New Roman"/>
                <w:bCs/>
                <w:szCs w:val="24"/>
                <w:lang w:eastAsia="lv-LV"/>
              </w:rPr>
              <w:t xml:space="preserve"> Demontētā noderīgā aprīkojuma nodošana pasūtītājam (sagatavošana transportēšanai uz </w:t>
            </w:r>
            <w:r w:rsidRPr="00A43172">
              <w:rPr>
                <w:rFonts w:eastAsia="Times New Roman" w:cs="Times New Roman"/>
                <w:bCs/>
                <w:szCs w:val="24"/>
                <w:lang w:eastAsia="lv-LV"/>
              </w:rPr>
              <w:t xml:space="preserve">noliktavas telpām </w:t>
            </w:r>
            <w:r>
              <w:rPr>
                <w:rFonts w:eastAsia="Times New Roman" w:cs="Times New Roman"/>
                <w:bCs/>
                <w:szCs w:val="24"/>
                <w:lang w:eastAsia="lv-LV"/>
              </w:rPr>
              <w:t xml:space="preserve">Rīgā, </w:t>
            </w:r>
            <w:r w:rsidRPr="00A43172">
              <w:rPr>
                <w:rFonts w:eastAsia="Times New Roman" w:cs="Times New Roman"/>
                <w:bCs/>
                <w:szCs w:val="24"/>
                <w:lang w:eastAsia="lv-LV"/>
              </w:rPr>
              <w:t>Rēzeknes iela 3A, Rīga, LV-1073</w:t>
            </w:r>
            <w:r>
              <w:rPr>
                <w:rFonts w:eastAsia="Times New Roman" w:cs="Times New Roman"/>
                <w:bCs/>
                <w:szCs w:val="24"/>
                <w:lang w:eastAsia="lv-LV"/>
              </w:rPr>
              <w:t>);</w:t>
            </w:r>
          </w:p>
          <w:p w14:paraId="2D800853" w14:textId="1FC5C3C4" w:rsidR="00AE7F0B" w:rsidRPr="000A2CBB" w:rsidRDefault="00AE7F0B" w:rsidP="000A2CBB">
            <w:pPr>
              <w:pStyle w:val="ListParagraph"/>
              <w:numPr>
                <w:ilvl w:val="0"/>
                <w:numId w:val="45"/>
              </w:numPr>
              <w:rPr>
                <w:rFonts w:eastAsia="Times New Roman" w:cs="Times New Roman"/>
                <w:bCs/>
                <w:szCs w:val="24"/>
                <w:lang w:eastAsia="lv-LV"/>
              </w:rPr>
            </w:pPr>
            <w:r w:rsidRPr="000A2CBB">
              <w:rPr>
                <w:rFonts w:eastAsia="Times New Roman" w:cs="Times New Roman"/>
                <w:bCs/>
                <w:szCs w:val="24"/>
                <w:lang w:eastAsia="lv-LV"/>
              </w:rPr>
              <w:t xml:space="preserve"> Nodošanas-pieņemšanas akta parakstīšana;</w:t>
            </w:r>
          </w:p>
          <w:p w14:paraId="25818FD7" w14:textId="4C7CEA52" w:rsidR="00AE7F0B" w:rsidRPr="000A2CBB" w:rsidRDefault="00AE7F0B" w:rsidP="000A2CBB">
            <w:pPr>
              <w:pStyle w:val="ListParagraph"/>
              <w:numPr>
                <w:ilvl w:val="0"/>
                <w:numId w:val="45"/>
              </w:numPr>
              <w:jc w:val="both"/>
              <w:rPr>
                <w:rFonts w:eastAsia="Times New Roman" w:cs="Times New Roman"/>
                <w:bCs/>
                <w:szCs w:val="24"/>
                <w:lang w:eastAsia="lv-LV"/>
              </w:rPr>
            </w:pPr>
            <w:proofErr w:type="spellStart"/>
            <w:r w:rsidRPr="000A2CBB">
              <w:rPr>
                <w:rFonts w:eastAsia="Times New Roman" w:cs="Times New Roman"/>
                <w:bCs/>
                <w:szCs w:val="24"/>
                <w:lang w:eastAsia="lv-LV"/>
              </w:rPr>
              <w:t>Fotofiksācija</w:t>
            </w:r>
            <w:proofErr w:type="spellEnd"/>
            <w:r w:rsidRPr="000A2CBB">
              <w:rPr>
                <w:rFonts w:eastAsia="Times New Roman" w:cs="Times New Roman"/>
                <w:bCs/>
                <w:szCs w:val="24"/>
                <w:lang w:eastAsia="lv-LV"/>
              </w:rPr>
              <w:t xml:space="preserve"> pēc darbu pabeigšanas.</w:t>
            </w:r>
          </w:p>
        </w:tc>
        <w:tc>
          <w:tcPr>
            <w:tcW w:w="1243" w:type="pct"/>
          </w:tcPr>
          <w:p w14:paraId="7677FE59" w14:textId="77777777" w:rsidR="00AE7F0B" w:rsidRPr="00326F16" w:rsidRDefault="00AE7F0B" w:rsidP="00AE7F0B">
            <w:pPr>
              <w:ind w:left="148" w:right="126"/>
              <w:jc w:val="both"/>
              <w:rPr>
                <w:rFonts w:eastAsia="Times New Roman" w:cs="Times New Roman"/>
                <w:szCs w:val="24"/>
                <w:lang w:eastAsia="lv-LV"/>
              </w:rPr>
            </w:pPr>
          </w:p>
        </w:tc>
      </w:tr>
      <w:tr w:rsidR="00AE7F0B" w:rsidRPr="00326F16" w14:paraId="55BB4C9A" w14:textId="77777777" w:rsidTr="002B4268">
        <w:trPr>
          <w:trHeight w:val="234"/>
        </w:trPr>
        <w:tc>
          <w:tcPr>
            <w:tcW w:w="5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AE7F0B" w:rsidRPr="00326F16" w:rsidRDefault="00AE7F0B" w:rsidP="00AE7F0B">
            <w:pPr>
              <w:pStyle w:val="ListParagraph"/>
              <w:numPr>
                <w:ilvl w:val="0"/>
                <w:numId w:val="32"/>
              </w:numPr>
              <w:ind w:hanging="578"/>
              <w:rPr>
                <w:rFonts w:eastAsia="Times New Roman" w:cs="Times New Roman"/>
                <w:b/>
                <w:szCs w:val="24"/>
                <w:lang w:eastAsia="lv-LV"/>
              </w:rPr>
            </w:pPr>
          </w:p>
        </w:tc>
        <w:tc>
          <w:tcPr>
            <w:tcW w:w="4410"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5C62CF65" w14:textId="15B34F9C" w:rsidR="00AE7F0B" w:rsidRPr="00326F16" w:rsidRDefault="00AE7F0B" w:rsidP="00AE7F0B">
            <w:pPr>
              <w:jc w:val="center"/>
              <w:rPr>
                <w:rFonts w:cs="Times New Roman"/>
                <w:b/>
                <w:szCs w:val="24"/>
              </w:rPr>
            </w:pPr>
            <w:r w:rsidRPr="00DD71BF">
              <w:rPr>
                <w:b/>
                <w:bCs/>
              </w:rPr>
              <w:t xml:space="preserve">Prasības </w:t>
            </w:r>
            <w:r>
              <w:rPr>
                <w:b/>
                <w:bCs/>
              </w:rPr>
              <w:t>Iekārtas</w:t>
            </w:r>
            <w:r w:rsidRPr="00DD71BF">
              <w:rPr>
                <w:b/>
                <w:bCs/>
              </w:rPr>
              <w:t xml:space="preserve"> </w:t>
            </w:r>
            <w:r>
              <w:rPr>
                <w:b/>
                <w:bCs/>
              </w:rPr>
              <w:t>bīstamo šķidrumu un gāzu utilizācijai</w:t>
            </w:r>
          </w:p>
        </w:tc>
      </w:tr>
      <w:tr w:rsidR="00AE7F0B" w:rsidRPr="00326F16" w14:paraId="6F0C3FE6" w14:textId="77777777" w:rsidTr="002B4268">
        <w:trPr>
          <w:trHeight w:val="310"/>
        </w:trPr>
        <w:tc>
          <w:tcPr>
            <w:tcW w:w="590" w:type="pct"/>
            <w:tcBorders>
              <w:top w:val="single" w:sz="4" w:space="0" w:color="auto"/>
            </w:tcBorders>
            <w:vAlign w:val="center"/>
          </w:tcPr>
          <w:p w14:paraId="0D7693E7" w14:textId="7EA9C2C3" w:rsidR="00AE7F0B" w:rsidRPr="00384803" w:rsidRDefault="00AE7F0B" w:rsidP="00AE7F0B">
            <w:pPr>
              <w:pStyle w:val="ListParagraph"/>
              <w:numPr>
                <w:ilvl w:val="1"/>
                <w:numId w:val="32"/>
              </w:numPr>
              <w:ind w:hanging="578"/>
              <w:rPr>
                <w:rFonts w:eastAsia="Times New Roman" w:cs="Times New Roman"/>
                <w:b/>
                <w:szCs w:val="24"/>
                <w:lang w:eastAsia="lv-LV"/>
              </w:rPr>
            </w:pPr>
          </w:p>
        </w:tc>
        <w:tc>
          <w:tcPr>
            <w:tcW w:w="3167" w:type="pct"/>
            <w:tcBorders>
              <w:top w:val="single" w:sz="4" w:space="0" w:color="auto"/>
            </w:tcBorders>
          </w:tcPr>
          <w:p w14:paraId="1914C43C" w14:textId="0199005B" w:rsidR="00AE7F0B" w:rsidRPr="00326F16" w:rsidRDefault="00AE7F0B" w:rsidP="00AE7F0B">
            <w:pPr>
              <w:tabs>
                <w:tab w:val="left" w:pos="1108"/>
              </w:tabs>
              <w:ind w:left="135" w:right="83"/>
              <w:jc w:val="both"/>
              <w:rPr>
                <w:rFonts w:eastAsia="Times New Roman" w:cs="Times New Roman"/>
                <w:szCs w:val="24"/>
                <w:lang w:eastAsia="lv-LV"/>
              </w:rPr>
            </w:pPr>
            <w:r w:rsidRPr="00AE7F0B">
              <w:rPr>
                <w:rFonts w:eastAsia="Times New Roman" w:cs="Times New Roman"/>
                <w:szCs w:val="24"/>
                <w:lang w:eastAsia="lv-LV"/>
              </w:rPr>
              <w:t xml:space="preserve">Pretendents par saviem līdzekļiem veic Iekārtas  bīstamo šķidrumu un gāzu savākšanu un nogādāšanu no to atrašanās vietas licencētam atkritumu </w:t>
            </w:r>
            <w:proofErr w:type="spellStart"/>
            <w:r w:rsidRPr="00AE7F0B">
              <w:rPr>
                <w:rFonts w:eastAsia="Times New Roman" w:cs="Times New Roman"/>
                <w:szCs w:val="24"/>
                <w:lang w:eastAsia="lv-LV"/>
              </w:rPr>
              <w:t>apsaimniekotājam</w:t>
            </w:r>
            <w:proofErr w:type="spellEnd"/>
            <w:r w:rsidRPr="00AE7F0B">
              <w:rPr>
                <w:rFonts w:eastAsia="Times New Roman" w:cs="Times New Roman"/>
                <w:szCs w:val="24"/>
                <w:lang w:eastAsia="lv-LV"/>
              </w:rPr>
              <w:t xml:space="preserve"> ar pavaddokumentiem.</w:t>
            </w:r>
          </w:p>
        </w:tc>
        <w:tc>
          <w:tcPr>
            <w:tcW w:w="1243" w:type="pct"/>
          </w:tcPr>
          <w:p w14:paraId="4CB8F7EE" w14:textId="77777777" w:rsidR="00AE7F0B" w:rsidRPr="00326F16" w:rsidRDefault="00AE7F0B" w:rsidP="00AE7F0B">
            <w:pPr>
              <w:ind w:left="148" w:right="126"/>
              <w:jc w:val="both"/>
              <w:rPr>
                <w:rFonts w:eastAsia="Times New Roman" w:cs="Times New Roman"/>
                <w:szCs w:val="24"/>
                <w:lang w:eastAsia="lv-LV"/>
              </w:rPr>
            </w:pPr>
          </w:p>
        </w:tc>
      </w:tr>
      <w:tr w:rsidR="00AE7F0B" w:rsidRPr="00326F16" w14:paraId="107F864C" w14:textId="77777777" w:rsidTr="002B4268">
        <w:trPr>
          <w:trHeight w:val="310"/>
        </w:trPr>
        <w:tc>
          <w:tcPr>
            <w:tcW w:w="590" w:type="pct"/>
            <w:tcBorders>
              <w:top w:val="single" w:sz="4" w:space="0" w:color="auto"/>
            </w:tcBorders>
            <w:vAlign w:val="center"/>
          </w:tcPr>
          <w:p w14:paraId="43FC3D9C" w14:textId="51A1BAD5" w:rsidR="00AE7F0B" w:rsidRPr="00384803" w:rsidRDefault="00AE7F0B" w:rsidP="00AE7F0B">
            <w:pPr>
              <w:pStyle w:val="ListParagraph"/>
              <w:numPr>
                <w:ilvl w:val="1"/>
                <w:numId w:val="32"/>
              </w:numPr>
              <w:ind w:hanging="578"/>
              <w:rPr>
                <w:rFonts w:eastAsia="Times New Roman" w:cs="Times New Roman"/>
                <w:b/>
                <w:szCs w:val="24"/>
                <w:lang w:eastAsia="lv-LV"/>
              </w:rPr>
            </w:pPr>
          </w:p>
        </w:tc>
        <w:tc>
          <w:tcPr>
            <w:tcW w:w="3167" w:type="pct"/>
            <w:tcBorders>
              <w:top w:val="single" w:sz="4" w:space="0" w:color="auto"/>
            </w:tcBorders>
          </w:tcPr>
          <w:p w14:paraId="3ED4689B" w14:textId="3D5F6A8F" w:rsidR="00AE7F0B" w:rsidRPr="00326F16" w:rsidRDefault="00AE7F0B" w:rsidP="00AE7F0B">
            <w:pPr>
              <w:tabs>
                <w:tab w:val="left" w:pos="1108"/>
              </w:tabs>
              <w:ind w:left="135" w:right="83"/>
              <w:jc w:val="both"/>
              <w:rPr>
                <w:rFonts w:eastAsia="Times New Roman" w:cs="Times New Roman"/>
                <w:szCs w:val="24"/>
                <w:lang w:eastAsia="lv-LV"/>
              </w:rPr>
            </w:pPr>
            <w:r w:rsidRPr="00DD71BF">
              <w:t xml:space="preserve">Pretendents par saviem līdzekļiem nodrošina, ka teritorijas daļa, kurā </w:t>
            </w:r>
            <w:r>
              <w:t>Iekārta</w:t>
            </w:r>
            <w:r w:rsidRPr="00DD71BF">
              <w:t xml:space="preserve"> atr</w:t>
            </w:r>
            <w:r>
              <w:t>o</w:t>
            </w:r>
            <w:r w:rsidRPr="00DD71BF">
              <w:t>d</w:t>
            </w:r>
            <w:r>
              <w:t>a</w:t>
            </w:r>
            <w:r w:rsidRPr="00DD71BF">
              <w:t>s un</w:t>
            </w:r>
            <w:r>
              <w:t>,</w:t>
            </w:r>
            <w:r w:rsidRPr="00DD71BF">
              <w:t xml:space="preserve"> kurā tika veikta </w:t>
            </w:r>
            <w:r>
              <w:t>tās</w:t>
            </w:r>
            <w:r w:rsidRPr="00DD71BF">
              <w:t xml:space="preserve"> </w:t>
            </w:r>
            <w:r>
              <w:t xml:space="preserve">demontēto </w:t>
            </w:r>
            <w:r>
              <w:lastRenderedPageBreak/>
              <w:t xml:space="preserve">daļu  </w:t>
            </w:r>
            <w:r w:rsidRPr="00DA1ECB">
              <w:t>sagatavošana transportēšanai</w:t>
            </w:r>
            <w:r w:rsidRPr="00DD71BF">
              <w:t xml:space="preserve">, ir satīrīta un </w:t>
            </w:r>
            <w:r>
              <w:t>tajā</w:t>
            </w:r>
            <w:r w:rsidRPr="00DD71BF">
              <w:t xml:space="preserve"> neatrodas </w:t>
            </w:r>
            <w:r>
              <w:t>Iekārtas demontāžas darbu laikā radušās atliekas</w:t>
            </w:r>
            <w:r w:rsidRPr="00DD71BF">
              <w:t xml:space="preserve"> u.c.</w:t>
            </w:r>
          </w:p>
        </w:tc>
        <w:tc>
          <w:tcPr>
            <w:tcW w:w="1243" w:type="pct"/>
          </w:tcPr>
          <w:p w14:paraId="75BDE177" w14:textId="77777777" w:rsidR="00AE7F0B" w:rsidRPr="00326F16" w:rsidRDefault="00AE7F0B" w:rsidP="00AE7F0B">
            <w:pPr>
              <w:ind w:left="148" w:right="126"/>
              <w:jc w:val="both"/>
              <w:rPr>
                <w:rFonts w:eastAsia="Times New Roman" w:cs="Times New Roman"/>
                <w:szCs w:val="24"/>
                <w:lang w:eastAsia="lv-LV"/>
              </w:rPr>
            </w:pPr>
          </w:p>
        </w:tc>
      </w:tr>
      <w:tr w:rsidR="00AE7F0B" w:rsidRPr="00326F16" w14:paraId="42A95939" w14:textId="77777777" w:rsidTr="002B4268">
        <w:trPr>
          <w:trHeight w:val="310"/>
        </w:trPr>
        <w:tc>
          <w:tcPr>
            <w:tcW w:w="590" w:type="pct"/>
            <w:tcBorders>
              <w:top w:val="single" w:sz="4" w:space="0" w:color="auto"/>
            </w:tcBorders>
            <w:vAlign w:val="center"/>
          </w:tcPr>
          <w:p w14:paraId="1E41974E" w14:textId="43B901F5" w:rsidR="00AE7F0B" w:rsidRPr="000A2CBB" w:rsidRDefault="00AE7F0B" w:rsidP="000A2CBB">
            <w:pPr>
              <w:ind w:left="360"/>
              <w:rPr>
                <w:rFonts w:eastAsia="Times New Roman" w:cs="Times New Roman"/>
                <w:b/>
                <w:szCs w:val="24"/>
                <w:lang w:eastAsia="lv-LV"/>
              </w:rPr>
            </w:pPr>
            <w:r>
              <w:rPr>
                <w:rFonts w:eastAsia="Times New Roman" w:cs="Times New Roman"/>
                <w:b/>
                <w:szCs w:val="24"/>
                <w:lang w:eastAsia="lv-LV"/>
              </w:rPr>
              <w:t>6.</w:t>
            </w:r>
          </w:p>
        </w:tc>
        <w:tc>
          <w:tcPr>
            <w:tcW w:w="3167" w:type="pct"/>
            <w:tcBorders>
              <w:top w:val="single" w:sz="4" w:space="0" w:color="auto"/>
            </w:tcBorders>
          </w:tcPr>
          <w:p w14:paraId="555644F4" w14:textId="644F533D" w:rsidR="00AE7F0B" w:rsidRPr="000A2CBB" w:rsidRDefault="00AE7F0B" w:rsidP="00AE7F0B">
            <w:pPr>
              <w:tabs>
                <w:tab w:val="left" w:pos="1108"/>
              </w:tabs>
              <w:ind w:left="135" w:right="83"/>
              <w:jc w:val="both"/>
              <w:rPr>
                <w:b/>
                <w:bCs/>
              </w:rPr>
            </w:pPr>
            <w:r w:rsidRPr="000A2CBB">
              <w:rPr>
                <w:b/>
                <w:bCs/>
              </w:rPr>
              <w:t xml:space="preserve">                              Pretendenta apliecinājums</w:t>
            </w:r>
          </w:p>
        </w:tc>
        <w:tc>
          <w:tcPr>
            <w:tcW w:w="1243" w:type="pct"/>
          </w:tcPr>
          <w:p w14:paraId="69A038A1" w14:textId="77777777" w:rsidR="00AE7F0B" w:rsidRPr="00326F16" w:rsidRDefault="00AE7F0B" w:rsidP="00AE7F0B">
            <w:pPr>
              <w:ind w:left="148" w:right="126"/>
              <w:jc w:val="both"/>
              <w:rPr>
                <w:rFonts w:eastAsia="Times New Roman" w:cs="Times New Roman"/>
                <w:szCs w:val="24"/>
                <w:lang w:eastAsia="lv-LV"/>
              </w:rPr>
            </w:pPr>
          </w:p>
        </w:tc>
      </w:tr>
      <w:tr w:rsidR="00AE7F0B" w:rsidRPr="00326F16" w14:paraId="231BACEB" w14:textId="77777777" w:rsidTr="002B4268">
        <w:trPr>
          <w:trHeight w:val="310"/>
        </w:trPr>
        <w:tc>
          <w:tcPr>
            <w:tcW w:w="590" w:type="pct"/>
            <w:tcBorders>
              <w:top w:val="single" w:sz="4" w:space="0" w:color="auto"/>
            </w:tcBorders>
            <w:vAlign w:val="center"/>
          </w:tcPr>
          <w:p w14:paraId="326226A6" w14:textId="4C4466E8" w:rsidR="00AE7F0B" w:rsidRPr="000A2CBB" w:rsidRDefault="00AE7F0B" w:rsidP="00AE7F0B">
            <w:pPr>
              <w:ind w:left="360"/>
              <w:rPr>
                <w:rFonts w:eastAsia="Times New Roman" w:cs="Times New Roman"/>
                <w:bCs/>
                <w:szCs w:val="24"/>
                <w:lang w:eastAsia="lv-LV"/>
              </w:rPr>
            </w:pPr>
            <w:r w:rsidRPr="000A2CBB">
              <w:rPr>
                <w:rFonts w:eastAsia="Times New Roman" w:cs="Times New Roman"/>
                <w:bCs/>
                <w:szCs w:val="24"/>
                <w:lang w:eastAsia="lv-LV"/>
              </w:rPr>
              <w:t>6.1.</w:t>
            </w:r>
          </w:p>
        </w:tc>
        <w:tc>
          <w:tcPr>
            <w:tcW w:w="3167" w:type="pct"/>
            <w:tcBorders>
              <w:top w:val="single" w:sz="4" w:space="0" w:color="auto"/>
            </w:tcBorders>
          </w:tcPr>
          <w:p w14:paraId="7A717FF9" w14:textId="467FF751" w:rsidR="00AE7F0B" w:rsidRPr="000A2CBB" w:rsidRDefault="00AE7F0B" w:rsidP="00A10C19">
            <w:pPr>
              <w:tabs>
                <w:tab w:val="left" w:pos="1108"/>
              </w:tabs>
              <w:ind w:left="135" w:right="83"/>
              <w:jc w:val="both"/>
            </w:pPr>
            <w:r w:rsidRPr="000A2CBB">
              <w:t xml:space="preserve">Pretendents apliecina, ka tam uz Līguma slēgšanas dienu ir un visā Līguma darbības laikā būs Valsts vides dienesta Radiācijas drošības centra izsniegta spēkā esoša Speciālā atļauja (licence) darbībām ar jonizējošā starojuma avotiem ar tajā norādīto atļauto darbību – atbilstošo jonizējošā starojuma iekārtu demontāža. </w:t>
            </w:r>
          </w:p>
        </w:tc>
        <w:tc>
          <w:tcPr>
            <w:tcW w:w="1243" w:type="pct"/>
          </w:tcPr>
          <w:p w14:paraId="6F477335" w14:textId="77777777" w:rsidR="00AE7F0B" w:rsidRPr="00326F16" w:rsidRDefault="00AE7F0B" w:rsidP="00AE7F0B">
            <w:pPr>
              <w:ind w:left="148" w:right="126"/>
              <w:jc w:val="both"/>
              <w:rPr>
                <w:rFonts w:eastAsia="Times New Roman" w:cs="Times New Roman"/>
                <w:szCs w:val="24"/>
                <w:lang w:eastAsia="lv-LV"/>
              </w:rPr>
            </w:pPr>
          </w:p>
        </w:tc>
      </w:tr>
      <w:tr w:rsidR="00A10C19" w:rsidRPr="00326F16" w14:paraId="698CF4DD" w14:textId="77777777" w:rsidTr="002B4268">
        <w:trPr>
          <w:trHeight w:val="310"/>
        </w:trPr>
        <w:tc>
          <w:tcPr>
            <w:tcW w:w="590" w:type="pct"/>
            <w:tcBorders>
              <w:top w:val="single" w:sz="4" w:space="0" w:color="auto"/>
            </w:tcBorders>
            <w:vAlign w:val="center"/>
          </w:tcPr>
          <w:p w14:paraId="00DBBA66" w14:textId="45680210" w:rsidR="00A10C19" w:rsidRPr="000A2CBB" w:rsidRDefault="00A10C19" w:rsidP="00AE7F0B">
            <w:pPr>
              <w:ind w:left="360"/>
              <w:rPr>
                <w:rFonts w:eastAsia="Times New Roman" w:cs="Times New Roman"/>
                <w:bCs/>
                <w:szCs w:val="24"/>
                <w:lang w:eastAsia="lv-LV"/>
              </w:rPr>
            </w:pPr>
            <w:r>
              <w:rPr>
                <w:rFonts w:eastAsia="Times New Roman" w:cs="Times New Roman"/>
                <w:bCs/>
                <w:szCs w:val="24"/>
                <w:lang w:eastAsia="lv-LV"/>
              </w:rPr>
              <w:t xml:space="preserve">6.2. </w:t>
            </w:r>
          </w:p>
        </w:tc>
        <w:tc>
          <w:tcPr>
            <w:tcW w:w="3167" w:type="pct"/>
            <w:tcBorders>
              <w:top w:val="single" w:sz="4" w:space="0" w:color="auto"/>
            </w:tcBorders>
          </w:tcPr>
          <w:p w14:paraId="088A78CE" w14:textId="70323897" w:rsidR="00A10C19" w:rsidRPr="000A2CBB" w:rsidRDefault="00A10C19" w:rsidP="00AE7F0B">
            <w:pPr>
              <w:tabs>
                <w:tab w:val="left" w:pos="1108"/>
              </w:tabs>
              <w:ind w:left="135" w:right="83"/>
              <w:jc w:val="both"/>
            </w:pPr>
            <w:r w:rsidRPr="00A10C19">
              <w:t>Pretendents apliecina, ka atbilstoši  2010.gada 30.novembra  Ministru kabineta noteikumiem Nr.1082 „Kārtība, kādā piesakāmas A, B un C kategorijas piesārņojošas darbības un izsniedzamas atļaujas A un B kategorijas piesārņojošo darbību veikšana” ir saņēmis  atbilstošu atļauju piesārņojošo darbību veikšanai.</w:t>
            </w:r>
          </w:p>
        </w:tc>
        <w:tc>
          <w:tcPr>
            <w:tcW w:w="1243" w:type="pct"/>
          </w:tcPr>
          <w:p w14:paraId="43492E95" w14:textId="77777777" w:rsidR="00A10C19" w:rsidRPr="00326F16" w:rsidRDefault="00A10C19" w:rsidP="00AE7F0B">
            <w:pPr>
              <w:ind w:left="148" w:right="126"/>
              <w:jc w:val="both"/>
              <w:rPr>
                <w:rFonts w:eastAsia="Times New Roman" w:cs="Times New Roman"/>
                <w:szCs w:val="24"/>
                <w:lang w:eastAsia="lv-LV"/>
              </w:rPr>
            </w:pPr>
          </w:p>
        </w:tc>
      </w:tr>
      <w:tr w:rsidR="00AE7F0B" w:rsidRPr="00326F16" w14:paraId="2522867D" w14:textId="77777777" w:rsidTr="002B4268">
        <w:trPr>
          <w:trHeight w:val="196"/>
        </w:trPr>
        <w:tc>
          <w:tcPr>
            <w:tcW w:w="590" w:type="pct"/>
            <w:shd w:val="pct15" w:color="auto" w:fill="auto"/>
          </w:tcPr>
          <w:p w14:paraId="786B798B" w14:textId="77777777" w:rsidR="00AE7F0B" w:rsidRPr="00326F16" w:rsidRDefault="00AE7F0B" w:rsidP="00AE7F0B">
            <w:pPr>
              <w:pStyle w:val="ListParagraph"/>
              <w:numPr>
                <w:ilvl w:val="0"/>
                <w:numId w:val="32"/>
              </w:numPr>
              <w:ind w:hanging="578"/>
              <w:rPr>
                <w:rFonts w:eastAsia="Times New Roman" w:cs="Times New Roman"/>
                <w:b/>
                <w:szCs w:val="24"/>
                <w:lang w:eastAsia="lv-LV"/>
              </w:rPr>
            </w:pPr>
          </w:p>
        </w:tc>
        <w:tc>
          <w:tcPr>
            <w:tcW w:w="4410" w:type="pct"/>
            <w:gridSpan w:val="2"/>
            <w:shd w:val="pct15" w:color="auto" w:fill="auto"/>
          </w:tcPr>
          <w:p w14:paraId="4E22B910" w14:textId="0EB3293C" w:rsidR="00AE7F0B" w:rsidRPr="00326F16" w:rsidRDefault="00AE7F0B" w:rsidP="00AE7F0B">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AE7F0B" w:rsidRPr="00326F16" w14:paraId="084CF5DD" w14:textId="77777777" w:rsidTr="002B4268">
        <w:trPr>
          <w:trHeight w:val="310"/>
        </w:trPr>
        <w:tc>
          <w:tcPr>
            <w:tcW w:w="590" w:type="pct"/>
            <w:tcBorders>
              <w:top w:val="single" w:sz="4" w:space="0" w:color="auto"/>
            </w:tcBorders>
            <w:vAlign w:val="center"/>
          </w:tcPr>
          <w:p w14:paraId="388E1D90" w14:textId="77777777" w:rsidR="00AE7F0B" w:rsidRPr="00384803" w:rsidRDefault="00AE7F0B" w:rsidP="00AE7F0B">
            <w:pPr>
              <w:pStyle w:val="ListParagraph"/>
              <w:numPr>
                <w:ilvl w:val="1"/>
                <w:numId w:val="32"/>
              </w:numPr>
              <w:ind w:hanging="578"/>
              <w:rPr>
                <w:rFonts w:eastAsia="Times New Roman" w:cs="Times New Roman"/>
                <w:b/>
                <w:szCs w:val="24"/>
                <w:lang w:eastAsia="lv-LV"/>
              </w:rPr>
            </w:pPr>
          </w:p>
        </w:tc>
        <w:tc>
          <w:tcPr>
            <w:tcW w:w="4410" w:type="pct"/>
            <w:gridSpan w:val="2"/>
            <w:tcBorders>
              <w:top w:val="single" w:sz="4" w:space="0" w:color="auto"/>
            </w:tcBorders>
          </w:tcPr>
          <w:p w14:paraId="5F6B0E17" w14:textId="77777777" w:rsidR="00AE7F0B" w:rsidRDefault="00AE7F0B" w:rsidP="00AE7F0B">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AE7F0B" w:rsidRPr="00326F16" w:rsidRDefault="00AE7F0B" w:rsidP="00AE7F0B">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AE7F0B" w:rsidRPr="00326F16" w14:paraId="488FAD56" w14:textId="77777777" w:rsidTr="002B4268">
        <w:trPr>
          <w:trHeight w:val="310"/>
        </w:trPr>
        <w:tc>
          <w:tcPr>
            <w:tcW w:w="590" w:type="pct"/>
            <w:tcBorders>
              <w:top w:val="single" w:sz="4" w:space="0" w:color="auto"/>
            </w:tcBorders>
            <w:vAlign w:val="center"/>
          </w:tcPr>
          <w:p w14:paraId="0B80CB59" w14:textId="77777777" w:rsidR="00AE7F0B" w:rsidRPr="00384803" w:rsidRDefault="00AE7F0B" w:rsidP="00AE7F0B">
            <w:pPr>
              <w:pStyle w:val="ListParagraph"/>
              <w:numPr>
                <w:ilvl w:val="1"/>
                <w:numId w:val="32"/>
              </w:numPr>
              <w:ind w:hanging="578"/>
              <w:rPr>
                <w:rFonts w:eastAsia="Times New Roman" w:cs="Times New Roman"/>
                <w:b/>
                <w:szCs w:val="24"/>
                <w:lang w:eastAsia="lv-LV"/>
              </w:rPr>
            </w:pPr>
          </w:p>
        </w:tc>
        <w:tc>
          <w:tcPr>
            <w:tcW w:w="4410" w:type="pct"/>
            <w:gridSpan w:val="2"/>
            <w:tcBorders>
              <w:top w:val="single" w:sz="4" w:space="0" w:color="auto"/>
            </w:tcBorders>
          </w:tcPr>
          <w:p w14:paraId="542041D7" w14:textId="494AEC5A" w:rsidR="00AE7F0B" w:rsidRDefault="00AE7F0B" w:rsidP="00AE7F0B">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AE7F0B" w:rsidRPr="00162D66" w:rsidRDefault="00AE7F0B" w:rsidP="00AE7F0B">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AE7F0B" w:rsidRPr="00326F16" w14:paraId="21FBC504" w14:textId="77777777" w:rsidTr="002B4268">
        <w:trPr>
          <w:trHeight w:val="310"/>
        </w:trPr>
        <w:tc>
          <w:tcPr>
            <w:tcW w:w="590" w:type="pct"/>
            <w:tcBorders>
              <w:top w:val="single" w:sz="4" w:space="0" w:color="auto"/>
              <w:bottom w:val="single" w:sz="4" w:space="0" w:color="auto"/>
            </w:tcBorders>
            <w:vAlign w:val="center"/>
          </w:tcPr>
          <w:p w14:paraId="4AF98B5E" w14:textId="77777777" w:rsidR="00AE7F0B" w:rsidRPr="00384803" w:rsidRDefault="00AE7F0B" w:rsidP="00AE7F0B">
            <w:pPr>
              <w:pStyle w:val="ListParagraph"/>
              <w:numPr>
                <w:ilvl w:val="1"/>
                <w:numId w:val="32"/>
              </w:numPr>
              <w:ind w:hanging="578"/>
              <w:rPr>
                <w:rFonts w:eastAsia="Times New Roman" w:cs="Times New Roman"/>
                <w:b/>
                <w:szCs w:val="24"/>
                <w:lang w:eastAsia="lv-LV"/>
              </w:rPr>
            </w:pPr>
          </w:p>
        </w:tc>
        <w:tc>
          <w:tcPr>
            <w:tcW w:w="4410" w:type="pct"/>
            <w:gridSpan w:val="2"/>
            <w:tcBorders>
              <w:top w:val="single" w:sz="4" w:space="0" w:color="auto"/>
              <w:bottom w:val="single" w:sz="4" w:space="0" w:color="auto"/>
            </w:tcBorders>
          </w:tcPr>
          <w:p w14:paraId="5603C7D6" w14:textId="6F4BA661" w:rsidR="00AE7F0B" w:rsidRDefault="00AE7F0B" w:rsidP="00AE7F0B">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AE7F0B" w:rsidRPr="00326F16" w:rsidRDefault="00AE7F0B" w:rsidP="00AE7F0B">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2"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86C66">
              <w:rPr>
                <w:rFonts w:eastAsia="Times New Roman" w:cs="Times New Roman"/>
                <w:i/>
                <w:iCs/>
                <w:szCs w:val="24"/>
                <w:lang w:eastAsia="lv-LV"/>
              </w:rPr>
              <w:t xml:space="preserve">. </w:t>
            </w:r>
          </w:p>
        </w:tc>
      </w:tr>
    </w:tbl>
    <w:p w14:paraId="522923A7" w14:textId="1B01BF5C" w:rsidR="00CE5D32" w:rsidRDefault="00CE5D32" w:rsidP="000A2CBB">
      <w:pPr>
        <w:pStyle w:val="Heading2"/>
        <w:numPr>
          <w:ilvl w:val="0"/>
          <w:numId w:val="0"/>
        </w:numPr>
        <w:tabs>
          <w:tab w:val="clear" w:pos="567"/>
          <w:tab w:val="left" w:pos="426"/>
        </w:tabs>
        <w:ind w:left="360"/>
        <w:jc w:val="center"/>
        <w:rPr>
          <w:rFonts w:ascii="Times New Roman Bold" w:hAnsi="Times New Roman Bold"/>
          <w:caps/>
          <w:sz w:val="28"/>
          <w:szCs w:val="28"/>
        </w:rPr>
      </w:pPr>
    </w:p>
    <w:p w14:paraId="72A59D08" w14:textId="77777777" w:rsidR="00203DFB" w:rsidRDefault="00203DFB" w:rsidP="000A2CBB">
      <w:pPr>
        <w:pStyle w:val="Heading2"/>
        <w:numPr>
          <w:ilvl w:val="0"/>
          <w:numId w:val="0"/>
        </w:numPr>
        <w:tabs>
          <w:tab w:val="clear" w:pos="567"/>
          <w:tab w:val="left" w:pos="426"/>
        </w:tabs>
        <w:ind w:left="567"/>
        <w:rPr>
          <w:rFonts w:ascii="Times New Roman Bold" w:eastAsiaTheme="minorHAnsi" w:hAnsi="Times New Roman Bold" w:cstheme="minorBidi"/>
          <w:b w:val="0"/>
          <w:caps/>
          <w:sz w:val="28"/>
          <w:szCs w:val="28"/>
        </w:rPr>
      </w:pPr>
    </w:p>
    <w:p w14:paraId="2323791F" w14:textId="77777777" w:rsidR="00203DFB" w:rsidRDefault="00203DFB" w:rsidP="00203DFB"/>
    <w:p w14:paraId="1CB8B2B4" w14:textId="77777777" w:rsidR="00203DFB" w:rsidRDefault="00203DFB" w:rsidP="00203DFB"/>
    <w:p w14:paraId="754857CB" w14:textId="77777777" w:rsidR="00203DFB" w:rsidRDefault="00203DFB" w:rsidP="00203DFB"/>
    <w:p w14:paraId="5D75C1EE" w14:textId="77777777" w:rsidR="00203DFB" w:rsidRDefault="00203DFB" w:rsidP="00203DFB"/>
    <w:p w14:paraId="6487CC29" w14:textId="77777777" w:rsidR="00203DFB" w:rsidRDefault="00203DFB" w:rsidP="00203DFB"/>
    <w:p w14:paraId="556D83EC" w14:textId="77777777" w:rsidR="00203DFB" w:rsidRDefault="00203DFB" w:rsidP="00203DFB"/>
    <w:p w14:paraId="54C65234" w14:textId="77777777" w:rsidR="00203DFB" w:rsidRDefault="00203DFB" w:rsidP="00203DFB"/>
    <w:p w14:paraId="31F978B9" w14:textId="77777777" w:rsidR="00203DFB" w:rsidRDefault="00203DFB" w:rsidP="00203DFB"/>
    <w:p w14:paraId="4826D8DA" w14:textId="77777777" w:rsidR="00203DFB" w:rsidRDefault="00203DFB" w:rsidP="00203DFB"/>
    <w:p w14:paraId="6D8F55CC" w14:textId="77777777" w:rsidR="00203DFB" w:rsidRDefault="00203DFB" w:rsidP="00203DFB"/>
    <w:p w14:paraId="456AE773" w14:textId="77777777" w:rsidR="00203DFB" w:rsidRPr="002B4268" w:rsidRDefault="00203DFB" w:rsidP="002B4268"/>
    <w:p w14:paraId="56430B88" w14:textId="77777777" w:rsidR="00203DFB" w:rsidRDefault="00203DFB" w:rsidP="00CE5D32">
      <w:pPr>
        <w:pStyle w:val="Heading2"/>
        <w:numPr>
          <w:ilvl w:val="0"/>
          <w:numId w:val="0"/>
        </w:numPr>
        <w:tabs>
          <w:tab w:val="clear" w:pos="567"/>
          <w:tab w:val="left" w:pos="426"/>
        </w:tabs>
        <w:ind w:left="3996" w:hanging="735"/>
        <w:jc w:val="center"/>
        <w:rPr>
          <w:rFonts w:ascii="Times New Roman Bold" w:hAnsi="Times New Roman Bold"/>
          <w:caps/>
          <w:sz w:val="28"/>
          <w:szCs w:val="28"/>
        </w:rPr>
      </w:pPr>
    </w:p>
    <w:p w14:paraId="69D308D3" w14:textId="77777777" w:rsidR="00CE5D32" w:rsidRPr="000A2CBB" w:rsidRDefault="00CE5D32" w:rsidP="000A2CBB"/>
    <w:p w14:paraId="52A609CB" w14:textId="58ED149C"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sidRPr="006A176E">
        <w:rPr>
          <w:rFonts w:ascii="Times New Roman Bold" w:hAnsi="Times New Roman Bold"/>
          <w:caps/>
          <w:sz w:val="28"/>
          <w:szCs w:val="28"/>
        </w:rPr>
        <w:lastRenderedPageBreak/>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505"/>
        <w:gridCol w:w="2530"/>
        <w:gridCol w:w="1556"/>
      </w:tblGrid>
      <w:tr w:rsidR="00203DFB" w:rsidRPr="003B41C8" w14:paraId="51F3E115" w14:textId="77777777" w:rsidTr="002B4268">
        <w:trPr>
          <w:trHeight w:val="1085"/>
          <w:tblHeader/>
        </w:trPr>
        <w:tc>
          <w:tcPr>
            <w:tcW w:w="943" w:type="dxa"/>
          </w:tcPr>
          <w:p w14:paraId="438CAF26" w14:textId="38A67A8F" w:rsidR="00203DFB" w:rsidRPr="008049B1" w:rsidRDefault="00203DFB" w:rsidP="00394C42">
            <w:pPr>
              <w:jc w:val="center"/>
              <w:rPr>
                <w:rFonts w:eastAsia="Times New Roman" w:cs="Times New Roman"/>
                <w:b/>
                <w:szCs w:val="24"/>
              </w:rPr>
            </w:pPr>
            <w:proofErr w:type="spellStart"/>
            <w:r>
              <w:rPr>
                <w:rFonts w:eastAsia="Times New Roman" w:cs="Times New Roman"/>
                <w:b/>
                <w:szCs w:val="24"/>
              </w:rPr>
              <w:t>Nr.p.k</w:t>
            </w:r>
            <w:proofErr w:type="spellEnd"/>
            <w:r>
              <w:rPr>
                <w:rFonts w:eastAsia="Times New Roman" w:cs="Times New Roman"/>
                <w:b/>
                <w:szCs w:val="24"/>
              </w:rPr>
              <w:t>.</w:t>
            </w:r>
          </w:p>
        </w:tc>
        <w:tc>
          <w:tcPr>
            <w:tcW w:w="3505" w:type="dxa"/>
            <w:vAlign w:val="center"/>
          </w:tcPr>
          <w:p w14:paraId="2F013222" w14:textId="3BF866CE" w:rsidR="00203DFB" w:rsidRPr="008049B1" w:rsidRDefault="00203DFB" w:rsidP="00394C42">
            <w:pPr>
              <w:jc w:val="center"/>
              <w:rPr>
                <w:rFonts w:eastAsia="Times New Roman" w:cs="Times New Roman"/>
                <w:b/>
                <w:szCs w:val="24"/>
              </w:rPr>
            </w:pPr>
            <w:r w:rsidRPr="008049B1">
              <w:rPr>
                <w:rFonts w:eastAsia="Times New Roman" w:cs="Times New Roman"/>
                <w:b/>
                <w:szCs w:val="24"/>
              </w:rPr>
              <w:t>Iekārta</w:t>
            </w:r>
          </w:p>
        </w:tc>
        <w:tc>
          <w:tcPr>
            <w:tcW w:w="2530" w:type="dxa"/>
            <w:vAlign w:val="center"/>
          </w:tcPr>
          <w:p w14:paraId="5BED0303" w14:textId="77777777" w:rsidR="00203DFB" w:rsidRPr="008049B1" w:rsidRDefault="00203DFB" w:rsidP="00394C42">
            <w:pPr>
              <w:jc w:val="center"/>
              <w:rPr>
                <w:rFonts w:eastAsia="Times New Roman" w:cs="Times New Roman"/>
                <w:b/>
                <w:szCs w:val="24"/>
              </w:rPr>
            </w:pPr>
            <w:r w:rsidRPr="008049B1">
              <w:rPr>
                <w:rFonts w:eastAsia="Times New Roman" w:cs="Times New Roman"/>
                <w:b/>
                <w:szCs w:val="24"/>
              </w:rPr>
              <w:t>Iekārtas atrašanās vietas adrese</w:t>
            </w:r>
          </w:p>
        </w:tc>
        <w:tc>
          <w:tcPr>
            <w:tcW w:w="1556" w:type="dxa"/>
            <w:vAlign w:val="center"/>
          </w:tcPr>
          <w:p w14:paraId="2E9980ED" w14:textId="77777777" w:rsidR="00203DFB" w:rsidRPr="008049B1" w:rsidRDefault="00203DFB" w:rsidP="00394C42">
            <w:pPr>
              <w:jc w:val="center"/>
              <w:rPr>
                <w:rFonts w:eastAsia="Times New Roman" w:cs="Times New Roman"/>
                <w:b/>
                <w:szCs w:val="24"/>
              </w:rPr>
            </w:pPr>
            <w:r w:rsidRPr="008049B1">
              <w:rPr>
                <w:rFonts w:eastAsia="Times New Roman" w:cs="Times New Roman"/>
                <w:b/>
                <w:szCs w:val="24"/>
              </w:rPr>
              <w:t xml:space="preserve">Iekārtas </w:t>
            </w:r>
            <w:r>
              <w:rPr>
                <w:rFonts w:eastAsia="Times New Roman" w:cs="Times New Roman"/>
                <w:b/>
                <w:szCs w:val="24"/>
              </w:rPr>
              <w:t>demontāžas</w:t>
            </w:r>
            <w:r w:rsidRPr="008049B1">
              <w:rPr>
                <w:rFonts w:eastAsia="Times New Roman" w:cs="Times New Roman"/>
                <w:b/>
                <w:szCs w:val="24"/>
              </w:rPr>
              <w:t xml:space="preserve"> izmaksas, EUR (bez PVN)</w:t>
            </w:r>
          </w:p>
        </w:tc>
      </w:tr>
      <w:tr w:rsidR="00203DFB" w:rsidRPr="003B41C8" w14:paraId="7D03A642" w14:textId="77777777" w:rsidTr="002B4268">
        <w:trPr>
          <w:trHeight w:val="417"/>
          <w:tblHeader/>
        </w:trPr>
        <w:tc>
          <w:tcPr>
            <w:tcW w:w="943" w:type="dxa"/>
          </w:tcPr>
          <w:p w14:paraId="2D09F313" w14:textId="0D8B984C" w:rsidR="00203DFB" w:rsidRPr="00C02F14" w:rsidRDefault="00203DFB" w:rsidP="002B4268">
            <w:pPr>
              <w:jc w:val="center"/>
              <w:rPr>
                <w:rFonts w:cs="Times New Roman"/>
                <w:szCs w:val="24"/>
              </w:rPr>
            </w:pPr>
            <w:r>
              <w:rPr>
                <w:rFonts w:cs="Times New Roman"/>
                <w:szCs w:val="24"/>
              </w:rPr>
              <w:t>1.</w:t>
            </w:r>
          </w:p>
        </w:tc>
        <w:tc>
          <w:tcPr>
            <w:tcW w:w="3505" w:type="dxa"/>
            <w:vAlign w:val="center"/>
          </w:tcPr>
          <w:p w14:paraId="140ECC6E" w14:textId="7420E54F" w:rsidR="00203DFB" w:rsidRPr="00C02F14" w:rsidRDefault="00203DFB" w:rsidP="00394C42">
            <w:pPr>
              <w:rPr>
                <w:rFonts w:cs="Times New Roman"/>
                <w:szCs w:val="24"/>
              </w:rPr>
            </w:pPr>
            <w:r w:rsidRPr="00C02F14">
              <w:rPr>
                <w:rFonts w:cs="Times New Roman"/>
                <w:szCs w:val="24"/>
              </w:rPr>
              <w:t>Pārvietojamā kravu un  transportlīdzekļu kontroles sistēma (tiek izmantota stacionāri), (ar lineāro paātrinātāju) MB</w:t>
            </w:r>
            <w:r w:rsidRPr="00C02F14">
              <w:t xml:space="preserve"> </w:t>
            </w:r>
            <w:r w:rsidRPr="00C02F14">
              <w:rPr>
                <w:rFonts w:cs="Times New Roman"/>
                <w:szCs w:val="24"/>
              </w:rPr>
              <w:t xml:space="preserve">1215LC sērijas Nr. </w:t>
            </w:r>
            <w:r w:rsidRPr="00C02F14">
              <w:rPr>
                <w:rFonts w:cs="Times New Roman"/>
                <w:b/>
                <w:bCs/>
                <w:szCs w:val="24"/>
              </w:rPr>
              <w:t>TFNWS032 BT 10644</w:t>
            </w:r>
            <w:r w:rsidRPr="00C02F14">
              <w:rPr>
                <w:rFonts w:cs="Times New Roman"/>
                <w:szCs w:val="24"/>
              </w:rPr>
              <w:t>, 2014</w:t>
            </w:r>
            <w:r w:rsidRPr="00C02F14">
              <w:rPr>
                <w:rFonts w:eastAsia="Times New Roman" w:cs="Times New Roman"/>
                <w:szCs w:val="24"/>
              </w:rPr>
              <w:t>.gads</w:t>
            </w:r>
          </w:p>
        </w:tc>
        <w:tc>
          <w:tcPr>
            <w:tcW w:w="2530" w:type="dxa"/>
            <w:vAlign w:val="center"/>
          </w:tcPr>
          <w:p w14:paraId="16C55DB9" w14:textId="77777777" w:rsidR="00203DFB" w:rsidRDefault="00203DFB" w:rsidP="00394C42">
            <w:pPr>
              <w:jc w:val="center"/>
              <w:rPr>
                <w:rFonts w:eastAsia="Times New Roman" w:cs="Times New Roman"/>
                <w:szCs w:val="24"/>
              </w:rPr>
            </w:pPr>
            <w:r w:rsidRPr="00CA1694">
              <w:rPr>
                <w:rFonts w:eastAsia="Times New Roman" w:cs="Times New Roman"/>
                <w:szCs w:val="24"/>
              </w:rPr>
              <w:t>Silenes MKP</w:t>
            </w:r>
          </w:p>
          <w:p w14:paraId="2CA939CE" w14:textId="77777777" w:rsidR="00203DFB" w:rsidRPr="00185000" w:rsidRDefault="00203DFB" w:rsidP="00394C42">
            <w:pPr>
              <w:jc w:val="center"/>
              <w:rPr>
                <w:rFonts w:eastAsia="Times New Roman" w:cs="Times New Roman"/>
                <w:szCs w:val="24"/>
              </w:rPr>
            </w:pPr>
            <w:r w:rsidRPr="00CA1694">
              <w:rPr>
                <w:rFonts w:eastAsia="Times New Roman" w:cs="Times New Roman"/>
                <w:szCs w:val="24"/>
              </w:rPr>
              <w:t>Silene, Skrudalienas pagasts,</w:t>
            </w:r>
            <w:r>
              <w:rPr>
                <w:rFonts w:eastAsia="Times New Roman" w:cs="Times New Roman"/>
                <w:szCs w:val="24"/>
              </w:rPr>
              <w:t xml:space="preserve"> </w:t>
            </w:r>
            <w:r w:rsidRPr="00CA1694">
              <w:rPr>
                <w:rFonts w:eastAsia="Times New Roman" w:cs="Times New Roman"/>
                <w:szCs w:val="24"/>
              </w:rPr>
              <w:t>Augšdaugavas novads, LV-5470</w:t>
            </w:r>
          </w:p>
        </w:tc>
        <w:tc>
          <w:tcPr>
            <w:tcW w:w="1556" w:type="dxa"/>
          </w:tcPr>
          <w:p w14:paraId="731B6521" w14:textId="77777777" w:rsidR="00203DFB" w:rsidRPr="00185000" w:rsidRDefault="00203DFB" w:rsidP="00394C42">
            <w:pPr>
              <w:jc w:val="center"/>
              <w:rPr>
                <w:rFonts w:eastAsia="Times New Roman" w:cs="Times New Roman"/>
                <w:szCs w:val="24"/>
              </w:rPr>
            </w:pPr>
          </w:p>
        </w:tc>
      </w:tr>
      <w:tr w:rsidR="00203DFB" w:rsidRPr="003B41C8" w14:paraId="1414698B" w14:textId="77777777" w:rsidTr="002B4268">
        <w:trPr>
          <w:trHeight w:val="417"/>
          <w:tblHeader/>
        </w:trPr>
        <w:tc>
          <w:tcPr>
            <w:tcW w:w="943" w:type="dxa"/>
          </w:tcPr>
          <w:p w14:paraId="57B522E9" w14:textId="0D396D2C" w:rsidR="00203DFB" w:rsidRDefault="00203DFB" w:rsidP="00394C42">
            <w:pPr>
              <w:rPr>
                <w:rFonts w:cs="Times New Roman"/>
                <w:szCs w:val="24"/>
              </w:rPr>
            </w:pPr>
            <w:r>
              <w:rPr>
                <w:rFonts w:cs="Times New Roman"/>
                <w:szCs w:val="24"/>
              </w:rPr>
              <w:t>2.</w:t>
            </w:r>
          </w:p>
        </w:tc>
        <w:tc>
          <w:tcPr>
            <w:tcW w:w="3505" w:type="dxa"/>
            <w:vAlign w:val="center"/>
          </w:tcPr>
          <w:p w14:paraId="11C5BE66" w14:textId="3E582CA2" w:rsidR="00203DFB" w:rsidRPr="00C02F14" w:rsidRDefault="00203DFB" w:rsidP="00394C42">
            <w:pPr>
              <w:rPr>
                <w:rFonts w:cs="Times New Roman"/>
                <w:szCs w:val="24"/>
              </w:rPr>
            </w:pPr>
            <w:r>
              <w:rPr>
                <w:rFonts w:cs="Times New Roman"/>
                <w:szCs w:val="24"/>
              </w:rPr>
              <w:t xml:space="preserve">Transportēšanas izdevumi </w:t>
            </w:r>
            <w:r>
              <w:rPr>
                <w:rFonts w:eastAsia="Times New Roman" w:cs="Times New Roman"/>
                <w:bCs/>
                <w:szCs w:val="24"/>
                <w:lang w:eastAsia="lv-LV"/>
              </w:rPr>
              <w:t>Rīgā, (</w:t>
            </w:r>
            <w:r w:rsidRPr="00A43172">
              <w:rPr>
                <w:rFonts w:eastAsia="Times New Roman" w:cs="Times New Roman"/>
                <w:bCs/>
                <w:szCs w:val="24"/>
                <w:lang w:eastAsia="lv-LV"/>
              </w:rPr>
              <w:t>Rēzeknes iela 3A, Rīga, LV-1073</w:t>
            </w:r>
            <w:r>
              <w:rPr>
                <w:rFonts w:eastAsia="Times New Roman" w:cs="Times New Roman"/>
                <w:bCs/>
                <w:szCs w:val="24"/>
                <w:lang w:eastAsia="lv-LV"/>
              </w:rPr>
              <w:t>)</w:t>
            </w:r>
          </w:p>
        </w:tc>
        <w:tc>
          <w:tcPr>
            <w:tcW w:w="2530" w:type="dxa"/>
            <w:vAlign w:val="center"/>
          </w:tcPr>
          <w:p w14:paraId="6A25F903" w14:textId="77777777" w:rsidR="00203DFB" w:rsidRPr="00CA1694" w:rsidRDefault="00203DFB" w:rsidP="00394C42">
            <w:pPr>
              <w:jc w:val="center"/>
              <w:rPr>
                <w:rFonts w:eastAsia="Times New Roman" w:cs="Times New Roman"/>
                <w:szCs w:val="24"/>
              </w:rPr>
            </w:pPr>
          </w:p>
        </w:tc>
        <w:tc>
          <w:tcPr>
            <w:tcW w:w="1556" w:type="dxa"/>
          </w:tcPr>
          <w:p w14:paraId="4DCEDD81" w14:textId="77777777" w:rsidR="00203DFB" w:rsidRPr="00185000" w:rsidRDefault="00203DFB" w:rsidP="00394C42">
            <w:pPr>
              <w:jc w:val="center"/>
              <w:rPr>
                <w:rFonts w:eastAsia="Times New Roman" w:cs="Times New Roman"/>
                <w:szCs w:val="24"/>
              </w:rPr>
            </w:pPr>
          </w:p>
        </w:tc>
      </w:tr>
      <w:tr w:rsidR="00203DFB" w:rsidRPr="003B41C8" w14:paraId="16FF5974" w14:textId="77777777" w:rsidTr="00F32D4D">
        <w:trPr>
          <w:trHeight w:val="417"/>
          <w:tblHeader/>
        </w:trPr>
        <w:tc>
          <w:tcPr>
            <w:tcW w:w="6978" w:type="dxa"/>
            <w:gridSpan w:val="3"/>
          </w:tcPr>
          <w:p w14:paraId="0BA369FC" w14:textId="158E1933" w:rsidR="00203DFB" w:rsidRPr="00CA1694" w:rsidRDefault="00203DFB" w:rsidP="002B4268">
            <w:pPr>
              <w:jc w:val="right"/>
              <w:rPr>
                <w:rFonts w:eastAsia="Times New Roman" w:cs="Times New Roman"/>
                <w:szCs w:val="24"/>
              </w:rPr>
            </w:pPr>
            <w:r>
              <w:rPr>
                <w:rFonts w:eastAsia="Times New Roman" w:cs="Times New Roman"/>
                <w:szCs w:val="24"/>
              </w:rPr>
              <w:t>KOPĀ 1</w:t>
            </w:r>
          </w:p>
        </w:tc>
        <w:tc>
          <w:tcPr>
            <w:tcW w:w="1556" w:type="dxa"/>
          </w:tcPr>
          <w:p w14:paraId="17258F83" w14:textId="77777777" w:rsidR="00203DFB" w:rsidRPr="00185000" w:rsidRDefault="00203DFB" w:rsidP="00394C42">
            <w:pPr>
              <w:jc w:val="center"/>
              <w:rPr>
                <w:rFonts w:eastAsia="Times New Roman" w:cs="Times New Roman"/>
                <w:szCs w:val="24"/>
              </w:rPr>
            </w:pPr>
          </w:p>
        </w:tc>
      </w:tr>
      <w:tr w:rsidR="00203DFB" w:rsidRPr="003B41C8" w14:paraId="3D8D0CCF" w14:textId="77777777" w:rsidTr="002B4268">
        <w:trPr>
          <w:trHeight w:val="417"/>
          <w:tblHeader/>
        </w:trPr>
        <w:tc>
          <w:tcPr>
            <w:tcW w:w="943" w:type="dxa"/>
          </w:tcPr>
          <w:p w14:paraId="35CEA8F6" w14:textId="23ABC310" w:rsidR="00203DFB" w:rsidRPr="00C02F14" w:rsidRDefault="00203DFB" w:rsidP="00394C42">
            <w:pPr>
              <w:rPr>
                <w:rFonts w:cs="Times New Roman"/>
                <w:szCs w:val="24"/>
              </w:rPr>
            </w:pPr>
            <w:r>
              <w:rPr>
                <w:rFonts w:cs="Times New Roman"/>
                <w:szCs w:val="24"/>
              </w:rPr>
              <w:t>3.</w:t>
            </w:r>
          </w:p>
        </w:tc>
        <w:tc>
          <w:tcPr>
            <w:tcW w:w="3505" w:type="dxa"/>
            <w:vAlign w:val="center"/>
          </w:tcPr>
          <w:p w14:paraId="100E3B2C" w14:textId="773B378A" w:rsidR="00203DFB" w:rsidRPr="00C02F14" w:rsidRDefault="00203DFB" w:rsidP="00394C42">
            <w:pPr>
              <w:rPr>
                <w:rFonts w:cs="Times New Roman"/>
                <w:szCs w:val="24"/>
              </w:rPr>
            </w:pPr>
            <w:r w:rsidRPr="00C02F14">
              <w:rPr>
                <w:rFonts w:cs="Times New Roman"/>
                <w:szCs w:val="24"/>
              </w:rPr>
              <w:t xml:space="preserve">Pārvietojamā kravu un  transportlīdzekļu kontroles sistēma (tiek izmantota stacionāri), (ar lineāro paātrinātāju) MB1215LC sērijas Nr. </w:t>
            </w:r>
            <w:r w:rsidRPr="00C02F14">
              <w:rPr>
                <w:rFonts w:cs="Times New Roman"/>
                <w:b/>
                <w:bCs/>
                <w:szCs w:val="24"/>
              </w:rPr>
              <w:t>TFN PL1 16005 BT-I-10947</w:t>
            </w:r>
            <w:r w:rsidRPr="00C02F14">
              <w:rPr>
                <w:rFonts w:cs="Times New Roman"/>
                <w:szCs w:val="24"/>
              </w:rPr>
              <w:t>, 2016.gads</w:t>
            </w:r>
          </w:p>
        </w:tc>
        <w:tc>
          <w:tcPr>
            <w:tcW w:w="2530" w:type="dxa"/>
            <w:vAlign w:val="center"/>
          </w:tcPr>
          <w:p w14:paraId="0D00D0F1" w14:textId="77777777" w:rsidR="00203DFB" w:rsidRPr="005D0355" w:rsidRDefault="00203DFB" w:rsidP="00394C42">
            <w:pPr>
              <w:jc w:val="center"/>
              <w:rPr>
                <w:rFonts w:eastAsia="Times New Roman" w:cs="Times New Roman"/>
                <w:szCs w:val="24"/>
              </w:rPr>
            </w:pPr>
            <w:r w:rsidRPr="005D0355">
              <w:rPr>
                <w:rFonts w:eastAsia="Times New Roman" w:cs="Times New Roman"/>
                <w:szCs w:val="24"/>
              </w:rPr>
              <w:t>Vientuļu MKP</w:t>
            </w:r>
          </w:p>
          <w:p w14:paraId="735C6BBD" w14:textId="77777777" w:rsidR="00203DFB" w:rsidRPr="00CA1694" w:rsidRDefault="00203DFB" w:rsidP="00394C42">
            <w:pPr>
              <w:jc w:val="center"/>
              <w:rPr>
                <w:rFonts w:eastAsia="Times New Roman" w:cs="Times New Roman"/>
                <w:szCs w:val="24"/>
              </w:rPr>
            </w:pPr>
            <w:r w:rsidRPr="005D0355">
              <w:rPr>
                <w:rFonts w:eastAsia="Times New Roman" w:cs="Times New Roman"/>
                <w:szCs w:val="24"/>
              </w:rPr>
              <w:t>Vientuļi, Vecumu pagasts, Balvu</w:t>
            </w:r>
            <w:r>
              <w:rPr>
                <w:rFonts w:eastAsia="Times New Roman" w:cs="Times New Roman"/>
                <w:szCs w:val="24"/>
              </w:rPr>
              <w:t xml:space="preserve"> </w:t>
            </w:r>
            <w:r w:rsidRPr="005D0355">
              <w:rPr>
                <w:rFonts w:eastAsia="Times New Roman" w:cs="Times New Roman"/>
                <w:szCs w:val="24"/>
              </w:rPr>
              <w:t>novads, LV-4583</w:t>
            </w:r>
          </w:p>
        </w:tc>
        <w:tc>
          <w:tcPr>
            <w:tcW w:w="1556" w:type="dxa"/>
          </w:tcPr>
          <w:p w14:paraId="3B9E28B9" w14:textId="77777777" w:rsidR="00203DFB" w:rsidRPr="00185000" w:rsidRDefault="00203DFB" w:rsidP="00394C42">
            <w:pPr>
              <w:jc w:val="center"/>
              <w:rPr>
                <w:rFonts w:eastAsia="Times New Roman" w:cs="Times New Roman"/>
                <w:szCs w:val="24"/>
              </w:rPr>
            </w:pPr>
          </w:p>
        </w:tc>
      </w:tr>
      <w:tr w:rsidR="00203DFB" w:rsidRPr="003B41C8" w14:paraId="7BE4A0C9" w14:textId="77777777" w:rsidTr="002B4268">
        <w:trPr>
          <w:trHeight w:val="417"/>
          <w:tblHeader/>
        </w:trPr>
        <w:tc>
          <w:tcPr>
            <w:tcW w:w="943" w:type="dxa"/>
          </w:tcPr>
          <w:p w14:paraId="7F629377" w14:textId="4CAB79CB" w:rsidR="00203DFB" w:rsidRDefault="00203DFB" w:rsidP="00394C42">
            <w:pPr>
              <w:rPr>
                <w:rFonts w:cs="Times New Roman"/>
                <w:szCs w:val="24"/>
              </w:rPr>
            </w:pPr>
            <w:r>
              <w:rPr>
                <w:rFonts w:cs="Times New Roman"/>
                <w:szCs w:val="24"/>
              </w:rPr>
              <w:t>4.</w:t>
            </w:r>
          </w:p>
        </w:tc>
        <w:tc>
          <w:tcPr>
            <w:tcW w:w="3505" w:type="dxa"/>
            <w:vAlign w:val="center"/>
          </w:tcPr>
          <w:p w14:paraId="3F3596B5" w14:textId="3D72FD0C" w:rsidR="00203DFB" w:rsidRPr="00C02F14" w:rsidRDefault="00203DFB" w:rsidP="00394C42">
            <w:pPr>
              <w:rPr>
                <w:rFonts w:cs="Times New Roman"/>
                <w:szCs w:val="24"/>
              </w:rPr>
            </w:pPr>
            <w:r>
              <w:rPr>
                <w:rFonts w:cs="Times New Roman"/>
                <w:szCs w:val="24"/>
              </w:rPr>
              <w:t>Transportēšanas izdevumi</w:t>
            </w:r>
            <w:r>
              <w:t xml:space="preserve"> </w:t>
            </w:r>
            <w:r w:rsidRPr="00F05986">
              <w:rPr>
                <w:rFonts w:cs="Times New Roman"/>
                <w:szCs w:val="24"/>
              </w:rPr>
              <w:t>Rīgā, Rēzeknes iela 3A, Rīga, LV-1073</w:t>
            </w:r>
          </w:p>
        </w:tc>
        <w:tc>
          <w:tcPr>
            <w:tcW w:w="2530" w:type="dxa"/>
            <w:vAlign w:val="center"/>
          </w:tcPr>
          <w:p w14:paraId="05E36A2F" w14:textId="77777777" w:rsidR="00203DFB" w:rsidRPr="005D0355" w:rsidRDefault="00203DFB" w:rsidP="00394C42">
            <w:pPr>
              <w:jc w:val="center"/>
              <w:rPr>
                <w:rFonts w:eastAsia="Times New Roman" w:cs="Times New Roman"/>
                <w:szCs w:val="24"/>
              </w:rPr>
            </w:pPr>
          </w:p>
        </w:tc>
        <w:tc>
          <w:tcPr>
            <w:tcW w:w="1556" w:type="dxa"/>
          </w:tcPr>
          <w:p w14:paraId="006D4B0B" w14:textId="77777777" w:rsidR="00203DFB" w:rsidRPr="00185000" w:rsidRDefault="00203DFB" w:rsidP="00394C42">
            <w:pPr>
              <w:jc w:val="center"/>
              <w:rPr>
                <w:rFonts w:eastAsia="Times New Roman" w:cs="Times New Roman"/>
                <w:szCs w:val="24"/>
              </w:rPr>
            </w:pPr>
          </w:p>
        </w:tc>
      </w:tr>
      <w:tr w:rsidR="00203DFB" w:rsidRPr="003B41C8" w14:paraId="6B4CBA61" w14:textId="77777777" w:rsidTr="00FF5E78">
        <w:trPr>
          <w:trHeight w:val="417"/>
          <w:tblHeader/>
        </w:trPr>
        <w:tc>
          <w:tcPr>
            <w:tcW w:w="6978" w:type="dxa"/>
            <w:gridSpan w:val="3"/>
          </w:tcPr>
          <w:p w14:paraId="6D5C67FB" w14:textId="5EBDD46E" w:rsidR="00203DFB" w:rsidRPr="005D0355" w:rsidRDefault="00203DFB" w:rsidP="002B4268">
            <w:pPr>
              <w:jc w:val="right"/>
              <w:rPr>
                <w:rFonts w:eastAsia="Times New Roman" w:cs="Times New Roman"/>
                <w:szCs w:val="24"/>
              </w:rPr>
            </w:pPr>
            <w:r w:rsidRPr="00067127">
              <w:rPr>
                <w:rFonts w:eastAsia="Times New Roman" w:cs="Times New Roman"/>
                <w:szCs w:val="24"/>
              </w:rPr>
              <w:t>K</w:t>
            </w:r>
            <w:r>
              <w:rPr>
                <w:rFonts w:eastAsia="Times New Roman" w:cs="Times New Roman"/>
                <w:szCs w:val="24"/>
              </w:rPr>
              <w:t>OPĀ2</w:t>
            </w:r>
          </w:p>
        </w:tc>
        <w:tc>
          <w:tcPr>
            <w:tcW w:w="1556" w:type="dxa"/>
          </w:tcPr>
          <w:p w14:paraId="0D0DF3C0" w14:textId="77777777" w:rsidR="00203DFB" w:rsidRPr="00185000" w:rsidRDefault="00203DFB" w:rsidP="00394C42">
            <w:pPr>
              <w:jc w:val="center"/>
              <w:rPr>
                <w:rFonts w:eastAsia="Times New Roman" w:cs="Times New Roman"/>
                <w:szCs w:val="24"/>
              </w:rPr>
            </w:pPr>
          </w:p>
        </w:tc>
      </w:tr>
      <w:tr w:rsidR="00203DFB" w:rsidRPr="003B41C8" w14:paraId="3BC6A4D5" w14:textId="77777777" w:rsidTr="002B4268">
        <w:trPr>
          <w:trHeight w:val="417"/>
          <w:tblHeader/>
        </w:trPr>
        <w:tc>
          <w:tcPr>
            <w:tcW w:w="943" w:type="dxa"/>
          </w:tcPr>
          <w:p w14:paraId="7ED3BF72" w14:textId="77777777" w:rsidR="00203DFB" w:rsidRPr="000A2CBB" w:rsidRDefault="00203DFB" w:rsidP="000A2CBB">
            <w:pPr>
              <w:jc w:val="right"/>
              <w:rPr>
                <w:rFonts w:eastAsia="Times New Roman" w:cs="Times New Roman"/>
                <w:b/>
                <w:bCs/>
                <w:szCs w:val="24"/>
              </w:rPr>
            </w:pPr>
          </w:p>
        </w:tc>
        <w:tc>
          <w:tcPr>
            <w:tcW w:w="6035" w:type="dxa"/>
            <w:gridSpan w:val="2"/>
            <w:vAlign w:val="center"/>
          </w:tcPr>
          <w:p w14:paraId="39AC2782" w14:textId="0E981D02" w:rsidR="00203DFB" w:rsidRPr="000A2CBB" w:rsidRDefault="00203DFB" w:rsidP="000A2CBB">
            <w:pPr>
              <w:jc w:val="right"/>
              <w:rPr>
                <w:rFonts w:eastAsia="Times New Roman" w:cs="Times New Roman"/>
                <w:b/>
                <w:bCs/>
                <w:szCs w:val="24"/>
              </w:rPr>
            </w:pPr>
            <w:r w:rsidRPr="000A2CBB">
              <w:rPr>
                <w:rFonts w:eastAsia="Times New Roman" w:cs="Times New Roman"/>
                <w:b/>
                <w:bCs/>
                <w:szCs w:val="24"/>
              </w:rPr>
              <w:t>KOPĀ</w:t>
            </w:r>
            <w:r>
              <w:rPr>
                <w:rFonts w:eastAsia="Times New Roman" w:cs="Times New Roman"/>
                <w:b/>
                <w:bCs/>
                <w:szCs w:val="24"/>
              </w:rPr>
              <w:t xml:space="preserve">1 + KOPĀ 2 </w:t>
            </w:r>
          </w:p>
        </w:tc>
        <w:tc>
          <w:tcPr>
            <w:tcW w:w="1556" w:type="dxa"/>
          </w:tcPr>
          <w:p w14:paraId="1C747C06" w14:textId="77777777" w:rsidR="00203DFB" w:rsidRPr="00185000" w:rsidRDefault="00203DFB" w:rsidP="00394C42">
            <w:pPr>
              <w:jc w:val="center"/>
              <w:rPr>
                <w:rFonts w:eastAsia="Times New Roman" w:cs="Times New Roman"/>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18FA4A0A" w:rsidR="00D62CC1"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326F16">
        <w:rPr>
          <w:rFonts w:eastAsia="Times New Roman" w:cs="Times New Roman"/>
          <w:i/>
          <w:szCs w:val="24"/>
          <w:lang w:eastAsia="lv-LV"/>
        </w:rPr>
        <w:t>veidos iepirkuma kopējo cenu EUR bez PVN un tiks izmantota</w:t>
      </w:r>
      <w:r w:rsidR="00203DFB">
        <w:rPr>
          <w:rFonts w:eastAsia="Times New Roman" w:cs="Times New Roman"/>
          <w:i/>
          <w:szCs w:val="24"/>
          <w:lang w:eastAsia="lv-LV"/>
        </w:rPr>
        <w:t xml:space="preserve"> 4.1.apakšpunktā noteikto saimnieciski izdevīgāko piedāvājumu aprēķināšanai.</w:t>
      </w:r>
      <w:r w:rsidRPr="00326F16">
        <w:rPr>
          <w:rFonts w:eastAsia="Times New Roman" w:cs="Times New Roman"/>
          <w:i/>
          <w:szCs w:val="24"/>
          <w:lang w:eastAsia="lv-LV"/>
        </w:rPr>
        <w:t xml:space="preserve"> </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5CE4EB66" w:rsidR="00D62CC1" w:rsidRPr="005C0D7A" w:rsidRDefault="00D62CC1" w:rsidP="00D62CC1">
      <w:pPr>
        <w:widowControl w:val="0"/>
        <w:rPr>
          <w:rFonts w:cs="Times New Roman"/>
          <w:sz w:val="20"/>
          <w:szCs w:val="20"/>
        </w:rPr>
      </w:pPr>
      <w:r w:rsidRPr="005C0D7A">
        <w:rPr>
          <w:rFonts w:cs="Times New Roman"/>
          <w:sz w:val="20"/>
          <w:szCs w:val="20"/>
        </w:rPr>
        <w:lastRenderedPageBreak/>
        <w:t>Pretendenta pilnvarotā persona</w:t>
      </w:r>
      <w:r w:rsidR="00C127B3">
        <w:rPr>
          <w:rStyle w:val="FootnoteReference"/>
          <w:rFonts w:cs="Times New Roman"/>
          <w:sz w:val="20"/>
          <w:szCs w:val="20"/>
        </w:rPr>
        <w:footnoteReference w:id="3"/>
      </w:r>
      <w:r w:rsidRPr="005C0D7A">
        <w:rPr>
          <w:rFonts w:cs="Times New Roman"/>
          <w:sz w:val="20"/>
          <w:szCs w:val="20"/>
        </w:rPr>
        <w:t xml:space="preserve">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bookmarkStart w:id="3" w:name="_Hlk223699542"/>
      <w:r w:rsidRPr="00A0540A">
        <w:rPr>
          <w:rFonts w:cs="Times New Roman"/>
          <w:szCs w:val="24"/>
        </w:rPr>
        <w:t xml:space="preserve"> Komisija no </w:t>
      </w:r>
      <w:bookmarkStart w:id="4"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4"/>
      <w:r>
        <w:rPr>
          <w:rFonts w:cs="Times New Roman"/>
          <w:szCs w:val="24"/>
        </w:rPr>
        <w:t>publiski pieejamās datubāzes,</w:t>
      </w:r>
      <w:r w:rsidRPr="00A0540A">
        <w:rPr>
          <w:rFonts w:cs="Times New Roman"/>
          <w:szCs w:val="24"/>
        </w:rPr>
        <w:t xml:space="preserve"> iegūst informāciju par to, vai pretendentam, </w:t>
      </w:r>
      <w:bookmarkStart w:id="5" w:name="_Hlk141942056"/>
      <w:r w:rsidRPr="00A0540A">
        <w:rPr>
          <w:rFonts w:cs="Times New Roman"/>
          <w:szCs w:val="24"/>
        </w:rPr>
        <w:t xml:space="preserve">kuram būtu piešķiramas Iepirkuma līguma slēgšanas tiesības </w:t>
      </w:r>
      <w:bookmarkEnd w:id="5"/>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bookmarkEnd w:id="3"/>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6"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7" w:name="_Hlk141942066"/>
      <w:bookmarkEnd w:id="6"/>
      <w:r w:rsidRPr="0037158A">
        <w:rPr>
          <w:rFonts w:cs="Times New Roman"/>
          <w:szCs w:val="24"/>
        </w:rPr>
        <w:t xml:space="preserve">komisija lūdz 3 (trīs) darba dienu laikā iesniegt </w:t>
      </w:r>
      <w:bookmarkEnd w:id="7"/>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8" w:name="_Hlk141942113"/>
      <w:r w:rsidRPr="0037158A">
        <w:rPr>
          <w:rFonts w:cs="Times New Roman"/>
          <w:szCs w:val="24"/>
        </w:rPr>
        <w:t xml:space="preserve">pretendentam dienā, kad pieņemts lēmums par iespējamu līguma slēgšanas tiesību piešķiršanu, </w:t>
      </w:r>
      <w:bookmarkEnd w:id="8"/>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6FB2D2D" w:rsidR="0037158A" w:rsidRDefault="0037158A" w:rsidP="000A2CBB">
      <w:pPr>
        <w:jc w:val="both"/>
      </w:pPr>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00C127B3">
        <w:t xml:space="preserve"> </w:t>
      </w:r>
      <w:r w:rsidR="00C127B3" w:rsidRPr="00000B65">
        <w:t>vai no tās izriet, ka pretendentam ir VID administrēto nodokļu (nodevu) parādi, kas kopsummā pārsniedz EUR 150 (viens simts piecdesmit euro)</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9"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9"/>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0" w:name="_Hlk141942561"/>
      <w:r w:rsidR="00892D63">
        <w:rPr>
          <w:bCs/>
        </w:rPr>
        <w:t>kuram</w:t>
      </w:r>
      <w:r w:rsidR="00892D63" w:rsidRPr="00CA283C">
        <w:rPr>
          <w:bCs/>
        </w:rPr>
        <w:t xml:space="preserve"> būtu piešķiramas līguma slēgšanas tiesības</w:t>
      </w:r>
      <w:bookmarkEnd w:id="10"/>
      <w:r w:rsidR="00892D63" w:rsidRPr="00CA283C">
        <w:rPr>
          <w:bCs/>
        </w:rPr>
        <w:t xml:space="preserve">, pārbauda, vai attiecībā uz šo pretendentu, </w:t>
      </w:r>
      <w:r w:rsidR="008D5B93" w:rsidRPr="008D5B93" w:rsidDel="00593DB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1"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CDA721F"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1"/>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2"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2"/>
    </w:p>
    <w:p w14:paraId="22DDCEBA" w14:textId="77777777" w:rsidR="004567F0" w:rsidRPr="004567F0" w:rsidRDefault="004567F0" w:rsidP="004567F0"/>
    <w:p w14:paraId="20FE5284" w14:textId="22C30ADA" w:rsidR="00936765" w:rsidRPr="002B4268" w:rsidRDefault="002472AB" w:rsidP="00A73AF7">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w:t>
      </w:r>
      <w:r w:rsidR="00936765" w:rsidRPr="002B4268">
        <w:t>piedāvājums ir saimnieciski visizdevīgākais</w:t>
      </w:r>
      <w:r w:rsidR="00936765" w:rsidRPr="00203DFB">
        <w:t xml:space="preserve">. </w:t>
      </w:r>
      <w:r w:rsidR="00936765" w:rsidRPr="002B4268">
        <w:t xml:space="preserve">Par saimnieciski visizdevīgāko tiks atzīts piedāvājums, kurš būs ieguvis lielāko punktu skaitu saskaņā </w:t>
      </w:r>
      <w:r w:rsidR="00D62CC1" w:rsidRPr="002B4268">
        <w:t xml:space="preserve">ar </w:t>
      </w:r>
      <w:r w:rsidR="00502105" w:rsidRPr="002B4268">
        <w:t>2.</w:t>
      </w:r>
      <w:r w:rsidR="0074554E">
        <w:t xml:space="preserve"> </w:t>
      </w:r>
      <w:r w:rsidR="00502105" w:rsidRPr="002B4268">
        <w:t>tabul</w:t>
      </w:r>
      <w:r w:rsidR="00D62CC1" w:rsidRPr="002B4268">
        <w:t>as “Saimnieciski visizdevīgākā piedāvājuma izvēles kritēriji un to skaitliskās vērtības”</w:t>
      </w:r>
      <w:r w:rsidR="00936765" w:rsidRPr="002B4268">
        <w:t xml:space="preserve"> noteiktajiem piedāvājumu vērtēšanas kritērijiem.</w:t>
      </w:r>
    </w:p>
    <w:p w14:paraId="54C8C7B8" w14:textId="77777777" w:rsidR="00D62CC1" w:rsidRDefault="00D62CC1" w:rsidP="00A73AF7">
      <w:pPr>
        <w:tabs>
          <w:tab w:val="left" w:pos="709"/>
          <w:tab w:val="left" w:pos="1560"/>
          <w:tab w:val="center" w:pos="4320"/>
          <w:tab w:val="left" w:pos="6096"/>
          <w:tab w:val="right" w:pos="8640"/>
        </w:tabs>
        <w:ind w:right="-1" w:firstLine="709"/>
        <w:jc w:val="both"/>
        <w:rPr>
          <w:b/>
        </w:rPr>
      </w:pPr>
    </w:p>
    <w:p w14:paraId="57B04A26" w14:textId="05C9773A" w:rsidR="00936765" w:rsidRPr="002B4268" w:rsidRDefault="00936765" w:rsidP="00A73AF7">
      <w:pPr>
        <w:tabs>
          <w:tab w:val="left" w:pos="709"/>
          <w:tab w:val="left" w:pos="1560"/>
          <w:tab w:val="center" w:pos="4320"/>
          <w:tab w:val="left" w:pos="6096"/>
          <w:tab w:val="right" w:pos="8640"/>
        </w:tabs>
        <w:ind w:right="-1" w:firstLine="709"/>
        <w:jc w:val="both"/>
      </w:pPr>
      <w:r w:rsidRPr="002B4268">
        <w:t>Saimnieciski visizdevīgākā piedāvājuma izvēles kritēriji un to skaitliskās vērtības</w:t>
      </w:r>
    </w:p>
    <w:p w14:paraId="2EB216F9" w14:textId="2F84223E" w:rsidR="00502105" w:rsidRPr="000A2CBB" w:rsidRDefault="00502105" w:rsidP="00502105">
      <w:pPr>
        <w:tabs>
          <w:tab w:val="left" w:pos="709"/>
          <w:tab w:val="left" w:pos="1560"/>
          <w:tab w:val="center" w:pos="4320"/>
          <w:tab w:val="left" w:pos="6096"/>
          <w:tab w:val="right" w:pos="8640"/>
        </w:tabs>
        <w:ind w:right="-1"/>
        <w:jc w:val="right"/>
        <w:rPr>
          <w:i/>
          <w:iCs/>
          <w:strike/>
        </w:rPr>
      </w:pPr>
    </w:p>
    <w:tbl>
      <w:tblPr>
        <w:tblStyle w:val="TableGrid"/>
        <w:tblW w:w="9356" w:type="dxa"/>
        <w:tblInd w:w="-5" w:type="dxa"/>
        <w:tblLook w:val="04A0" w:firstRow="1" w:lastRow="0" w:firstColumn="1" w:lastColumn="0" w:noHBand="0" w:noVBand="1"/>
      </w:tblPr>
      <w:tblGrid>
        <w:gridCol w:w="855"/>
        <w:gridCol w:w="2141"/>
        <w:gridCol w:w="1698"/>
        <w:gridCol w:w="4662"/>
      </w:tblGrid>
      <w:tr w:rsidR="00936765" w:rsidRPr="003440CA" w14:paraId="69EF4D94" w14:textId="77777777" w:rsidTr="00CB6379">
        <w:tc>
          <w:tcPr>
            <w:tcW w:w="855" w:type="dxa"/>
            <w:shd w:val="clear" w:color="auto" w:fill="D9D9D9" w:themeFill="background1" w:themeFillShade="D9"/>
          </w:tcPr>
          <w:p w14:paraId="31594C45" w14:textId="77777777" w:rsidR="00936765" w:rsidRPr="002B4268" w:rsidRDefault="00936765" w:rsidP="007D3277">
            <w:pPr>
              <w:jc w:val="center"/>
              <w:rPr>
                <w:rFonts w:ascii="Times New Roman" w:hAnsi="Times New Roman" w:cs="Times New Roman"/>
                <w:b/>
              </w:rPr>
            </w:pPr>
            <w:r w:rsidRPr="002B4268">
              <w:rPr>
                <w:rFonts w:cs="Times New Roman"/>
                <w:b/>
              </w:rPr>
              <w:t>Nr.</w:t>
            </w:r>
          </w:p>
          <w:p w14:paraId="49CFCD34" w14:textId="77777777" w:rsidR="00936765" w:rsidRPr="002B4268" w:rsidRDefault="00936765" w:rsidP="007D3277">
            <w:pPr>
              <w:jc w:val="center"/>
              <w:rPr>
                <w:rFonts w:ascii="Times New Roman" w:hAnsi="Times New Roman" w:cs="Times New Roman"/>
                <w:b/>
              </w:rPr>
            </w:pPr>
            <w:r w:rsidRPr="002B4268">
              <w:rPr>
                <w:rFonts w:cs="Times New Roman"/>
                <w:b/>
              </w:rPr>
              <w:t>p.k.</w:t>
            </w:r>
          </w:p>
        </w:tc>
        <w:tc>
          <w:tcPr>
            <w:tcW w:w="2141" w:type="dxa"/>
            <w:shd w:val="clear" w:color="auto" w:fill="D9D9D9" w:themeFill="background1" w:themeFillShade="D9"/>
          </w:tcPr>
          <w:p w14:paraId="44003170" w14:textId="77777777" w:rsidR="00936765" w:rsidRPr="002B4268" w:rsidRDefault="00936765" w:rsidP="007D3277">
            <w:pPr>
              <w:jc w:val="center"/>
              <w:rPr>
                <w:rFonts w:ascii="Times New Roman" w:hAnsi="Times New Roman" w:cs="Times New Roman"/>
                <w:b/>
              </w:rPr>
            </w:pPr>
            <w:r w:rsidRPr="002B4268">
              <w:rPr>
                <w:rFonts w:cs="Times New Roman"/>
                <w:b/>
              </w:rPr>
              <w:t>Vērtēšanas kritērijs</w:t>
            </w:r>
          </w:p>
        </w:tc>
        <w:tc>
          <w:tcPr>
            <w:tcW w:w="1698" w:type="dxa"/>
            <w:shd w:val="clear" w:color="auto" w:fill="D9D9D9" w:themeFill="background1" w:themeFillShade="D9"/>
          </w:tcPr>
          <w:p w14:paraId="56755E97" w14:textId="77777777" w:rsidR="00936765" w:rsidRPr="002B4268" w:rsidRDefault="00936765" w:rsidP="007D3277">
            <w:pPr>
              <w:ind w:left="102"/>
              <w:jc w:val="center"/>
              <w:rPr>
                <w:rFonts w:ascii="Times New Roman" w:hAnsi="Times New Roman" w:cs="Times New Roman"/>
                <w:b/>
              </w:rPr>
            </w:pPr>
            <w:r w:rsidRPr="002B4268">
              <w:rPr>
                <w:rFonts w:cs="Times New Roman"/>
                <w:b/>
              </w:rPr>
              <w:t>Maksimālais punktu skaits</w:t>
            </w:r>
          </w:p>
        </w:tc>
        <w:tc>
          <w:tcPr>
            <w:tcW w:w="4662" w:type="dxa"/>
            <w:shd w:val="clear" w:color="auto" w:fill="D9D9D9" w:themeFill="background1" w:themeFillShade="D9"/>
          </w:tcPr>
          <w:p w14:paraId="6FBABCF1" w14:textId="77777777" w:rsidR="00936765" w:rsidRPr="002B4268" w:rsidRDefault="00936765" w:rsidP="007D3277">
            <w:pPr>
              <w:ind w:right="-108"/>
              <w:jc w:val="center"/>
              <w:rPr>
                <w:rFonts w:ascii="Times New Roman" w:hAnsi="Times New Roman" w:cs="Times New Roman"/>
                <w:b/>
              </w:rPr>
            </w:pPr>
            <w:r w:rsidRPr="002B4268">
              <w:rPr>
                <w:rFonts w:cs="Times New Roman"/>
                <w:b/>
              </w:rPr>
              <w:t>Punktu piešķiršanas metodika</w:t>
            </w:r>
          </w:p>
        </w:tc>
      </w:tr>
      <w:tr w:rsidR="00936765" w:rsidRPr="003440CA" w14:paraId="5E589030" w14:textId="77777777" w:rsidTr="00CB6379">
        <w:tc>
          <w:tcPr>
            <w:tcW w:w="855" w:type="dxa"/>
          </w:tcPr>
          <w:p w14:paraId="1C80137D" w14:textId="0F57721C" w:rsidR="00936765" w:rsidRPr="00E10F86" w:rsidRDefault="00936765" w:rsidP="007D3277">
            <w:pPr>
              <w:rPr>
                <w:rFonts w:ascii="Times New Roman" w:hAnsi="Times New Roman" w:cs="Times New Roman"/>
                <w:sz w:val="24"/>
                <w:szCs w:val="24"/>
              </w:rPr>
            </w:pPr>
            <w:r w:rsidRPr="00E10F86">
              <w:rPr>
                <w:rFonts w:ascii="Times New Roman" w:hAnsi="Times New Roman" w:cs="Times New Roman"/>
                <w:sz w:val="24"/>
                <w:szCs w:val="24"/>
              </w:rPr>
              <w:t>1.</w:t>
            </w:r>
          </w:p>
        </w:tc>
        <w:tc>
          <w:tcPr>
            <w:tcW w:w="2141" w:type="dxa"/>
          </w:tcPr>
          <w:p w14:paraId="78786B63" w14:textId="610C90CA" w:rsidR="00936765" w:rsidRPr="00E10F86" w:rsidRDefault="00203DFB" w:rsidP="007D3277">
            <w:pPr>
              <w:rPr>
                <w:rFonts w:ascii="Times New Roman" w:hAnsi="Times New Roman" w:cs="Times New Roman"/>
                <w:sz w:val="24"/>
                <w:szCs w:val="24"/>
              </w:rPr>
            </w:pPr>
            <w:r w:rsidRPr="00E10F86">
              <w:rPr>
                <w:rFonts w:ascii="Times New Roman" w:hAnsi="Times New Roman" w:cs="Times New Roman"/>
                <w:sz w:val="24"/>
                <w:szCs w:val="24"/>
              </w:rPr>
              <w:t>Finanšu</w:t>
            </w:r>
            <w:r w:rsidR="008F4972" w:rsidRPr="00E10F86">
              <w:rPr>
                <w:rFonts w:ascii="Times New Roman" w:hAnsi="Times New Roman" w:cs="Times New Roman"/>
                <w:sz w:val="24"/>
                <w:szCs w:val="24"/>
              </w:rPr>
              <w:t xml:space="preserve"> piedāvājums</w:t>
            </w:r>
            <w:r w:rsidRPr="00E10F86">
              <w:rPr>
                <w:rFonts w:ascii="Times New Roman" w:hAnsi="Times New Roman" w:cs="Times New Roman"/>
                <w:sz w:val="24"/>
                <w:szCs w:val="24"/>
              </w:rPr>
              <w:t xml:space="preserve"> </w:t>
            </w:r>
          </w:p>
        </w:tc>
        <w:tc>
          <w:tcPr>
            <w:tcW w:w="1698" w:type="dxa"/>
            <w:vAlign w:val="center"/>
          </w:tcPr>
          <w:p w14:paraId="3EBCB205" w14:textId="67826E21" w:rsidR="00936765" w:rsidRPr="00E10F86" w:rsidRDefault="00067127" w:rsidP="007D3277">
            <w:pPr>
              <w:jc w:val="center"/>
              <w:rPr>
                <w:rFonts w:ascii="Times New Roman" w:hAnsi="Times New Roman" w:cs="Times New Roman"/>
                <w:sz w:val="24"/>
                <w:szCs w:val="24"/>
              </w:rPr>
            </w:pPr>
            <w:r w:rsidRPr="00E10F86">
              <w:rPr>
                <w:rFonts w:ascii="Times New Roman" w:hAnsi="Times New Roman" w:cs="Times New Roman"/>
                <w:sz w:val="24"/>
                <w:szCs w:val="24"/>
              </w:rPr>
              <w:t>80</w:t>
            </w:r>
          </w:p>
        </w:tc>
        <w:tc>
          <w:tcPr>
            <w:tcW w:w="4662" w:type="dxa"/>
          </w:tcPr>
          <w:p w14:paraId="372CED23" w14:textId="7B225E37" w:rsidR="008F4972" w:rsidRPr="00E10F86" w:rsidRDefault="008F4972" w:rsidP="007D3277">
            <w:pPr>
              <w:ind w:left="100" w:right="32"/>
              <w:jc w:val="both"/>
              <w:rPr>
                <w:rFonts w:ascii="Times New Roman" w:hAnsi="Times New Roman" w:cs="Times New Roman"/>
                <w:sz w:val="24"/>
                <w:szCs w:val="24"/>
              </w:rPr>
            </w:pPr>
            <w:r w:rsidRPr="00E10F86">
              <w:rPr>
                <w:rFonts w:ascii="Times New Roman" w:hAnsi="Times New Roman" w:cs="Times New Roman"/>
                <w:sz w:val="24"/>
                <w:szCs w:val="24"/>
              </w:rPr>
              <w:t>Vērtēšana tiek veikta, pamatojoties uz pretendenta 2</w:t>
            </w:r>
            <w:r w:rsidR="0074554E" w:rsidRPr="00E10F86">
              <w:rPr>
                <w:rFonts w:ascii="Times New Roman" w:hAnsi="Times New Roman" w:cs="Times New Roman"/>
                <w:sz w:val="24"/>
                <w:szCs w:val="24"/>
              </w:rPr>
              <w:t xml:space="preserve">. </w:t>
            </w:r>
            <w:r w:rsidRPr="00E10F86">
              <w:rPr>
                <w:rFonts w:ascii="Times New Roman" w:hAnsi="Times New Roman" w:cs="Times New Roman"/>
                <w:sz w:val="24"/>
                <w:szCs w:val="24"/>
              </w:rPr>
              <w:t>tabulā  norādīto kopējo cenu. Maksimālo punktu skaitu piešķir piedāvājumam ar viszemāko kopējo 2.</w:t>
            </w:r>
            <w:r w:rsidR="0074554E" w:rsidRPr="00E10F86">
              <w:rPr>
                <w:rFonts w:ascii="Times New Roman" w:hAnsi="Times New Roman" w:cs="Times New Roman"/>
                <w:sz w:val="24"/>
                <w:szCs w:val="24"/>
              </w:rPr>
              <w:t xml:space="preserve"> </w:t>
            </w:r>
            <w:r w:rsidRPr="00E10F86">
              <w:rPr>
                <w:rFonts w:ascii="Times New Roman" w:hAnsi="Times New Roman" w:cs="Times New Roman"/>
                <w:sz w:val="24"/>
                <w:szCs w:val="24"/>
              </w:rPr>
              <w:t xml:space="preserve">tabulā norādīto kopējo cenu, pārējiem proporcionāli mazāk. </w:t>
            </w:r>
          </w:p>
          <w:p w14:paraId="19C965F1" w14:textId="5F8B2AC8" w:rsidR="00936765" w:rsidRPr="00E10F86" w:rsidRDefault="008F4972" w:rsidP="007D3277">
            <w:pPr>
              <w:ind w:left="100" w:right="32"/>
              <w:jc w:val="both"/>
              <w:rPr>
                <w:rFonts w:ascii="Times New Roman" w:hAnsi="Times New Roman" w:cs="Times New Roman"/>
                <w:sz w:val="24"/>
                <w:szCs w:val="24"/>
              </w:rPr>
            </w:pPr>
            <w:r w:rsidRPr="00E10F86">
              <w:rPr>
                <w:rFonts w:ascii="Times New Roman" w:hAnsi="Times New Roman" w:cs="Times New Roman"/>
                <w:sz w:val="24"/>
                <w:szCs w:val="24"/>
              </w:rPr>
              <w:t>Piešķiramo punktu skaitu aprēķina saskaņā ar šādu formulu: Viszemākā finanšu piedāvājumā 2.</w:t>
            </w:r>
            <w:r w:rsidR="0074554E" w:rsidRPr="00E10F86">
              <w:rPr>
                <w:rFonts w:ascii="Times New Roman" w:hAnsi="Times New Roman" w:cs="Times New Roman"/>
                <w:sz w:val="24"/>
                <w:szCs w:val="24"/>
              </w:rPr>
              <w:t xml:space="preserve"> </w:t>
            </w:r>
            <w:r w:rsidRPr="00E10F86">
              <w:rPr>
                <w:rFonts w:ascii="Times New Roman" w:hAnsi="Times New Roman" w:cs="Times New Roman"/>
                <w:sz w:val="24"/>
                <w:szCs w:val="24"/>
              </w:rPr>
              <w:t>tabulā norādītā kopējā cena ÷ Vērtējamā finanšu piedāvājumā 2.tabulā norādītā kopējā cena x 80 (Vērtējumu nosaka ar precizitāti divas zīmes aiz komata)</w:t>
            </w:r>
          </w:p>
        </w:tc>
      </w:tr>
      <w:tr w:rsidR="00936765" w:rsidRPr="003440CA" w14:paraId="7B6F1A9D" w14:textId="77777777" w:rsidTr="00CB6379">
        <w:tc>
          <w:tcPr>
            <w:tcW w:w="855" w:type="dxa"/>
          </w:tcPr>
          <w:p w14:paraId="06A05FC7" w14:textId="1ABD691E" w:rsidR="00936765" w:rsidRPr="00E10F86" w:rsidRDefault="00936765" w:rsidP="007D3277">
            <w:pPr>
              <w:rPr>
                <w:rFonts w:ascii="Times New Roman" w:hAnsi="Times New Roman" w:cs="Times New Roman"/>
                <w:sz w:val="24"/>
                <w:szCs w:val="24"/>
              </w:rPr>
            </w:pPr>
            <w:r w:rsidRPr="00E10F86">
              <w:rPr>
                <w:rFonts w:ascii="Times New Roman" w:hAnsi="Times New Roman" w:cs="Times New Roman"/>
                <w:sz w:val="24"/>
                <w:szCs w:val="24"/>
              </w:rPr>
              <w:t>2.</w:t>
            </w:r>
          </w:p>
        </w:tc>
        <w:tc>
          <w:tcPr>
            <w:tcW w:w="2141" w:type="dxa"/>
          </w:tcPr>
          <w:p w14:paraId="5186FCB4" w14:textId="2C20BF8C" w:rsidR="00936765" w:rsidRPr="00E10F86" w:rsidRDefault="008F4972" w:rsidP="007D3277">
            <w:pPr>
              <w:rPr>
                <w:rFonts w:ascii="Times New Roman" w:hAnsi="Times New Roman" w:cs="Times New Roman"/>
                <w:sz w:val="24"/>
                <w:szCs w:val="24"/>
              </w:rPr>
            </w:pPr>
            <w:r w:rsidRPr="00E10F86">
              <w:rPr>
                <w:rFonts w:ascii="Times New Roman" w:hAnsi="Times New Roman" w:cs="Times New Roman"/>
                <w:sz w:val="24"/>
                <w:szCs w:val="24"/>
              </w:rPr>
              <w:t xml:space="preserve">Pakalpojuma izpildes termiņš </w:t>
            </w:r>
          </w:p>
        </w:tc>
        <w:tc>
          <w:tcPr>
            <w:tcW w:w="1698" w:type="dxa"/>
            <w:vAlign w:val="center"/>
          </w:tcPr>
          <w:p w14:paraId="4299740F" w14:textId="727520DA" w:rsidR="00936765" w:rsidRPr="00E10F86" w:rsidRDefault="00067127" w:rsidP="007D3277">
            <w:pPr>
              <w:jc w:val="center"/>
              <w:rPr>
                <w:rFonts w:ascii="Times New Roman" w:hAnsi="Times New Roman" w:cs="Times New Roman"/>
                <w:sz w:val="24"/>
                <w:szCs w:val="24"/>
              </w:rPr>
            </w:pPr>
            <w:r w:rsidRPr="00E10F86">
              <w:rPr>
                <w:rFonts w:ascii="Times New Roman" w:hAnsi="Times New Roman" w:cs="Times New Roman"/>
                <w:sz w:val="24"/>
                <w:szCs w:val="24"/>
              </w:rPr>
              <w:t>20</w:t>
            </w:r>
          </w:p>
        </w:tc>
        <w:tc>
          <w:tcPr>
            <w:tcW w:w="4662" w:type="dxa"/>
          </w:tcPr>
          <w:p w14:paraId="5FABD1B6" w14:textId="56B9B06F" w:rsidR="008F4972" w:rsidRPr="00E10F86" w:rsidRDefault="008F4972" w:rsidP="002B4268">
            <w:pPr>
              <w:jc w:val="both"/>
              <w:rPr>
                <w:rFonts w:ascii="Times New Roman" w:hAnsi="Times New Roman" w:cs="Times New Roman"/>
                <w:sz w:val="24"/>
                <w:szCs w:val="24"/>
              </w:rPr>
            </w:pPr>
            <w:r w:rsidRPr="00E10F86">
              <w:rPr>
                <w:rFonts w:ascii="Times New Roman" w:hAnsi="Times New Roman" w:cs="Times New Roman"/>
                <w:sz w:val="24"/>
                <w:szCs w:val="24"/>
              </w:rPr>
              <w:t>Vērtēšana tiek veikta, pamatojoties uz pretendenta 1. tabulas 2.2.</w:t>
            </w:r>
            <w:r w:rsidR="0074554E" w:rsidRPr="00E10F86">
              <w:rPr>
                <w:rFonts w:ascii="Times New Roman" w:hAnsi="Times New Roman" w:cs="Times New Roman"/>
                <w:sz w:val="24"/>
                <w:szCs w:val="24"/>
              </w:rPr>
              <w:t xml:space="preserve"> </w:t>
            </w:r>
            <w:r w:rsidRPr="00E10F86">
              <w:rPr>
                <w:rFonts w:ascii="Times New Roman" w:hAnsi="Times New Roman" w:cs="Times New Roman"/>
                <w:sz w:val="24"/>
                <w:szCs w:val="24"/>
              </w:rPr>
              <w:t>apakšpunktā  norādīto pakalpojuma izpildes termiņu. Maksimālo punktu skaitu piešķir piedāvājumam ar īsāko  1.</w:t>
            </w:r>
            <w:r w:rsidR="0074554E" w:rsidRPr="00E10F86">
              <w:rPr>
                <w:rFonts w:ascii="Times New Roman" w:hAnsi="Times New Roman" w:cs="Times New Roman"/>
                <w:sz w:val="24"/>
                <w:szCs w:val="24"/>
              </w:rPr>
              <w:t xml:space="preserve"> </w:t>
            </w:r>
            <w:r w:rsidRPr="00E10F86">
              <w:rPr>
                <w:rFonts w:ascii="Times New Roman" w:hAnsi="Times New Roman" w:cs="Times New Roman"/>
                <w:sz w:val="24"/>
                <w:szCs w:val="24"/>
              </w:rPr>
              <w:t>tabulas 2.2.</w:t>
            </w:r>
            <w:r w:rsidR="0074554E" w:rsidRPr="00E10F86">
              <w:rPr>
                <w:rFonts w:ascii="Times New Roman" w:hAnsi="Times New Roman" w:cs="Times New Roman"/>
                <w:sz w:val="24"/>
                <w:szCs w:val="24"/>
              </w:rPr>
              <w:t> </w:t>
            </w:r>
            <w:r w:rsidRPr="00E10F86">
              <w:rPr>
                <w:rFonts w:ascii="Times New Roman" w:hAnsi="Times New Roman" w:cs="Times New Roman"/>
                <w:sz w:val="24"/>
                <w:szCs w:val="24"/>
              </w:rPr>
              <w:t xml:space="preserve">apakšpunktā  norādīto pakalpojuma izpildes termiņu, pārējiem proporcionāli mazāk. </w:t>
            </w:r>
          </w:p>
          <w:p w14:paraId="7465AB72" w14:textId="40E066C0" w:rsidR="00936765" w:rsidRPr="00E10F86" w:rsidRDefault="008F4972" w:rsidP="002B4268">
            <w:pPr>
              <w:jc w:val="both"/>
              <w:rPr>
                <w:rFonts w:ascii="Times New Roman" w:hAnsi="Times New Roman" w:cs="Times New Roman"/>
                <w:strike/>
                <w:sz w:val="24"/>
                <w:szCs w:val="24"/>
              </w:rPr>
            </w:pPr>
            <w:r w:rsidRPr="00E10F86">
              <w:rPr>
                <w:rFonts w:ascii="Times New Roman" w:hAnsi="Times New Roman" w:cs="Times New Roman"/>
                <w:sz w:val="24"/>
                <w:szCs w:val="24"/>
              </w:rPr>
              <w:t>Piešķiramo punktu skaitu aprēķina saskaņā ar šādu formulu: Visīsākais  pakalpojuma izpildes termiņš ÷ Vērtējamais pakalpojuma izpildes termiņš x 20</w:t>
            </w:r>
            <w:r w:rsidR="0074554E" w:rsidRPr="00E10F86">
              <w:rPr>
                <w:rFonts w:ascii="Times New Roman" w:hAnsi="Times New Roman" w:cs="Times New Roman"/>
                <w:sz w:val="24"/>
                <w:szCs w:val="24"/>
              </w:rPr>
              <w:t xml:space="preserve"> </w:t>
            </w:r>
            <w:r w:rsidRPr="00E10F86">
              <w:rPr>
                <w:rFonts w:ascii="Times New Roman" w:hAnsi="Times New Roman" w:cs="Times New Roman"/>
                <w:sz w:val="24"/>
                <w:szCs w:val="24"/>
              </w:rPr>
              <w:t>(Vērtējumu nosaka ar precizitāti divas zīmes aiz komata)</w:t>
            </w:r>
          </w:p>
        </w:tc>
      </w:tr>
      <w:tr w:rsidR="00936765" w:rsidRPr="003440CA" w14:paraId="494F3269" w14:textId="77777777" w:rsidTr="00CB6379">
        <w:tc>
          <w:tcPr>
            <w:tcW w:w="2996" w:type="dxa"/>
            <w:gridSpan w:val="2"/>
          </w:tcPr>
          <w:p w14:paraId="705CEFF2" w14:textId="77777777" w:rsidR="00936765" w:rsidRPr="00E10F86" w:rsidRDefault="00936765" w:rsidP="007D3277">
            <w:pPr>
              <w:rPr>
                <w:rFonts w:ascii="Times New Roman" w:hAnsi="Times New Roman" w:cs="Times New Roman"/>
                <w:bCs/>
                <w:sz w:val="24"/>
                <w:szCs w:val="24"/>
              </w:rPr>
            </w:pPr>
            <w:r w:rsidRPr="00E10F86">
              <w:rPr>
                <w:rFonts w:ascii="Times New Roman" w:hAnsi="Times New Roman" w:cs="Times New Roman"/>
                <w:bCs/>
                <w:sz w:val="24"/>
                <w:szCs w:val="24"/>
              </w:rPr>
              <w:t>Maksimālais iespējamais kopējais punktu skaits</w:t>
            </w:r>
          </w:p>
        </w:tc>
        <w:tc>
          <w:tcPr>
            <w:tcW w:w="1698" w:type="dxa"/>
          </w:tcPr>
          <w:p w14:paraId="386DFAF2" w14:textId="49722E04" w:rsidR="00936765" w:rsidRPr="00E10F86" w:rsidRDefault="00067127" w:rsidP="007D3277">
            <w:pPr>
              <w:jc w:val="center"/>
              <w:rPr>
                <w:rFonts w:ascii="Times New Roman" w:hAnsi="Times New Roman" w:cs="Times New Roman"/>
                <w:bCs/>
                <w:sz w:val="24"/>
                <w:szCs w:val="24"/>
              </w:rPr>
            </w:pPr>
            <w:r w:rsidRPr="00E10F86">
              <w:rPr>
                <w:rFonts w:ascii="Times New Roman" w:hAnsi="Times New Roman" w:cs="Times New Roman"/>
                <w:bCs/>
                <w:sz w:val="24"/>
                <w:szCs w:val="24"/>
              </w:rPr>
              <w:t>100</w:t>
            </w:r>
          </w:p>
        </w:tc>
        <w:tc>
          <w:tcPr>
            <w:tcW w:w="4662" w:type="dxa"/>
          </w:tcPr>
          <w:p w14:paraId="6E40DC45" w14:textId="77777777" w:rsidR="00936765" w:rsidRPr="00E10F86" w:rsidRDefault="00936765" w:rsidP="007D3277">
            <w:pPr>
              <w:rPr>
                <w:rFonts w:ascii="Times New Roman" w:hAnsi="Times New Roman" w:cs="Times New Roman"/>
                <w:bCs/>
                <w:strike/>
                <w:sz w:val="24"/>
                <w:szCs w:val="24"/>
              </w:rPr>
            </w:pPr>
          </w:p>
        </w:tc>
      </w:tr>
    </w:tbl>
    <w:p w14:paraId="3C834683" w14:textId="77777777" w:rsidR="00936765" w:rsidRPr="002B4268" w:rsidRDefault="00936765" w:rsidP="00936765">
      <w:pPr>
        <w:tabs>
          <w:tab w:val="left" w:pos="709"/>
          <w:tab w:val="left" w:pos="1560"/>
          <w:tab w:val="center" w:pos="4320"/>
          <w:tab w:val="left" w:pos="6096"/>
          <w:tab w:val="right" w:pos="8640"/>
        </w:tabs>
        <w:ind w:right="-1"/>
        <w:jc w:val="both"/>
        <w:rPr>
          <w:rFonts w:cs="Times New Roman"/>
          <w:strike/>
          <w:sz w:val="22"/>
        </w:rPr>
      </w:pPr>
    </w:p>
    <w:p w14:paraId="2119767D" w14:textId="5053D111" w:rsidR="00936765" w:rsidRPr="003440CA" w:rsidRDefault="002472AB" w:rsidP="002F5E25">
      <w:pPr>
        <w:tabs>
          <w:tab w:val="left" w:pos="1560"/>
          <w:tab w:val="center" w:pos="4320"/>
          <w:tab w:val="left" w:pos="6096"/>
          <w:tab w:val="right" w:pos="8640"/>
        </w:tabs>
        <w:ind w:right="-1" w:firstLine="709"/>
        <w:jc w:val="both"/>
        <w:rPr>
          <w:szCs w:val="24"/>
          <w:lang w:eastAsia="lv-LV"/>
        </w:rPr>
      </w:pPr>
      <w:r w:rsidRPr="002B4268">
        <w:rPr>
          <w:rFonts w:cs="Times New Roman"/>
          <w:b/>
          <w:bCs/>
          <w:sz w:val="22"/>
        </w:rPr>
        <w:t>4</w:t>
      </w:r>
      <w:r w:rsidR="00936765" w:rsidRPr="002B4268">
        <w:rPr>
          <w:rFonts w:cs="Times New Roman"/>
          <w:b/>
          <w:bCs/>
          <w:sz w:val="22"/>
        </w:rPr>
        <w:t>.</w:t>
      </w:r>
      <w:r w:rsidRPr="002B4268">
        <w:rPr>
          <w:rFonts w:cs="Times New Roman"/>
          <w:b/>
          <w:bCs/>
          <w:sz w:val="22"/>
        </w:rPr>
        <w:t>2</w:t>
      </w:r>
      <w:r w:rsidR="00936765" w:rsidRPr="002B4268">
        <w:rPr>
          <w:rFonts w:cs="Times New Roman"/>
          <w:b/>
          <w:bCs/>
          <w:sz w:val="22"/>
        </w:rPr>
        <w:t>.</w:t>
      </w:r>
      <w:r w:rsidR="00936765" w:rsidRPr="002B4268">
        <w:rPr>
          <w:rFonts w:cs="Times New Roman"/>
          <w:i/>
          <w:sz w:val="22"/>
        </w:rPr>
        <w:t xml:space="preserve"> </w:t>
      </w:r>
      <w:r w:rsidR="00936765" w:rsidRPr="002B4268">
        <w:rPr>
          <w:rFonts w:cs="Times New Roman"/>
          <w:szCs w:val="24"/>
          <w:lang w:eastAsia="lv-LV"/>
        </w:rPr>
        <w:t xml:space="preserve">Gadījumā, ja vairāki pretendenti saņēmuši </w:t>
      </w:r>
      <w:r w:rsidR="00936765" w:rsidRPr="002B4268">
        <w:rPr>
          <w:rFonts w:cs="Times New Roman"/>
          <w:i/>
          <w:szCs w:val="24"/>
          <w:lang w:eastAsia="lv-LV"/>
        </w:rPr>
        <w:t>vienādu punktu skaitu</w:t>
      </w:r>
      <w:r w:rsidR="00936765" w:rsidRPr="002B4268">
        <w:rPr>
          <w:i/>
          <w:szCs w:val="24"/>
          <w:lang w:eastAsia="lv-LV"/>
        </w:rPr>
        <w:t xml:space="preserve"> </w:t>
      </w:r>
      <w:r w:rsidR="00936765" w:rsidRPr="002B4268">
        <w:rPr>
          <w:szCs w:val="24"/>
          <w:lang w:eastAsia="lv-LV"/>
        </w:rPr>
        <w:t xml:space="preserve">līguma slēgšanas tiesības tiek piešķirtas pretendentam, </w:t>
      </w:r>
      <w:r w:rsidR="008F4972" w:rsidRPr="002B4268">
        <w:rPr>
          <w:szCs w:val="24"/>
          <w:lang w:eastAsia="lv-LV"/>
        </w:rPr>
        <w:t>kurš  piedāvājis   z</w:t>
      </w:r>
      <w:r w:rsidR="007A7ED3" w:rsidRPr="002B4268">
        <w:rPr>
          <w:szCs w:val="24"/>
          <w:lang w:eastAsia="lv-LV"/>
        </w:rPr>
        <w:t>emāk</w:t>
      </w:r>
      <w:r w:rsidR="008F4972" w:rsidRPr="002B4268">
        <w:rPr>
          <w:szCs w:val="24"/>
          <w:lang w:eastAsia="lv-LV"/>
        </w:rPr>
        <w:t xml:space="preserve">o kopējo </w:t>
      </w:r>
      <w:r w:rsidR="007A7ED3" w:rsidRPr="002B4268">
        <w:rPr>
          <w:szCs w:val="24"/>
          <w:lang w:eastAsia="lv-LV"/>
        </w:rPr>
        <w:t xml:space="preserve"> </w:t>
      </w:r>
      <w:r w:rsidR="008F4972" w:rsidRPr="002B4268">
        <w:rPr>
          <w:szCs w:val="24"/>
          <w:lang w:eastAsia="lv-LV"/>
        </w:rPr>
        <w:t xml:space="preserve">cenu </w:t>
      </w:r>
      <w:r w:rsidR="003440CA" w:rsidRPr="002B4268">
        <w:rPr>
          <w:szCs w:val="24"/>
          <w:lang w:eastAsia="lv-LV"/>
        </w:rPr>
        <w:t>( Finanšu piedāvājums – Kopā1+Kopā2)</w:t>
      </w:r>
      <w:r w:rsidR="008F4972" w:rsidRPr="003440CA">
        <w:rPr>
          <w:szCs w:val="24"/>
          <w:lang w:eastAsia="lv-LV"/>
        </w:rPr>
        <w:t>.</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F67391" w:rsidRDefault="001375F2" w:rsidP="001375F2">
      <w:pPr>
        <w:tabs>
          <w:tab w:val="left" w:pos="1134"/>
        </w:tabs>
        <w:jc w:val="both"/>
        <w:rPr>
          <w:rFonts w:eastAsia="Times New Roman" w:cs="Times New Roman"/>
          <w:szCs w:val="24"/>
          <w:lang w:eastAsia="lv-LV"/>
        </w:rPr>
      </w:pPr>
    </w:p>
    <w:p w14:paraId="31B3A5C3" w14:textId="757170E3" w:rsidR="001375F2" w:rsidRPr="00830F3B" w:rsidRDefault="001375F2" w:rsidP="002F5E25">
      <w:pPr>
        <w:pStyle w:val="ListParagraph"/>
        <w:numPr>
          <w:ilvl w:val="1"/>
          <w:numId w:val="1"/>
        </w:numPr>
        <w:tabs>
          <w:tab w:val="left" w:pos="1134"/>
        </w:tabs>
        <w:ind w:left="0" w:firstLine="709"/>
        <w:jc w:val="both"/>
        <w:rPr>
          <w:szCs w:val="24"/>
        </w:rPr>
      </w:pPr>
      <w:r w:rsidRPr="00F67391">
        <w:rPr>
          <w:szCs w:val="24"/>
        </w:rPr>
        <w:t xml:space="preserve">Piedāvājumu </w:t>
      </w:r>
      <w:r w:rsidRPr="00830F3B">
        <w:rPr>
          <w:szCs w:val="24"/>
        </w:rPr>
        <w:t xml:space="preserve">pretendents var iesniegt līdz </w:t>
      </w:r>
      <w:r w:rsidRPr="00E65A86">
        <w:rPr>
          <w:b/>
          <w:bCs/>
          <w:szCs w:val="24"/>
        </w:rPr>
        <w:t>202</w:t>
      </w:r>
      <w:r w:rsidR="00830F3B" w:rsidRPr="00E65A86">
        <w:rPr>
          <w:b/>
          <w:bCs/>
          <w:szCs w:val="24"/>
        </w:rPr>
        <w:t>6. </w:t>
      </w:r>
      <w:r w:rsidRPr="00E65A86">
        <w:rPr>
          <w:b/>
          <w:bCs/>
          <w:szCs w:val="24"/>
        </w:rPr>
        <w:t>gada</w:t>
      </w:r>
      <w:r w:rsidR="007B29A2" w:rsidRPr="00E65A86">
        <w:rPr>
          <w:b/>
          <w:bCs/>
          <w:szCs w:val="24"/>
        </w:rPr>
        <w:t xml:space="preserve"> 25</w:t>
      </w:r>
      <w:r w:rsidR="00830F3B" w:rsidRPr="00E65A86">
        <w:rPr>
          <w:b/>
          <w:bCs/>
          <w:szCs w:val="24"/>
        </w:rPr>
        <w:t xml:space="preserve">.jūnija </w:t>
      </w:r>
      <w:r w:rsidRPr="00E65A86">
        <w:rPr>
          <w:b/>
          <w:bCs/>
          <w:szCs w:val="24"/>
        </w:rPr>
        <w:t>plkst. 10.00</w:t>
      </w:r>
      <w:r w:rsidRPr="00830F3B">
        <w:rPr>
          <w:szCs w:val="24"/>
        </w:rPr>
        <w:t xml:space="preserve">, nosūtot piedāvājumu uz elektroniskā pasta adresi:  </w:t>
      </w:r>
      <w:hyperlink r:id="rId12" w:history="1">
        <w:r w:rsidR="00830F3B" w:rsidRPr="00830F3B">
          <w:rPr>
            <w:rStyle w:val="Hyperlink"/>
            <w:szCs w:val="24"/>
          </w:rPr>
          <w:t>antra.vimane@vid.gov.lv</w:t>
        </w:r>
      </w:hyperlink>
      <w:r w:rsidR="007B29A2">
        <w:t>.</w:t>
      </w:r>
      <w:r w:rsidR="00830F3B" w:rsidRPr="00830F3B">
        <w:rPr>
          <w:szCs w:val="24"/>
        </w:rPr>
        <w:t xml:space="preserve"> </w:t>
      </w:r>
    </w:p>
    <w:p w14:paraId="73CD6B36" w14:textId="7F3BC99E" w:rsidR="00F67391" w:rsidRPr="00F67391" w:rsidRDefault="00F67391" w:rsidP="00F67391">
      <w:pPr>
        <w:pStyle w:val="ListParagraph"/>
        <w:numPr>
          <w:ilvl w:val="1"/>
          <w:numId w:val="1"/>
        </w:numPr>
        <w:tabs>
          <w:tab w:val="left" w:pos="1134"/>
        </w:tabs>
        <w:ind w:left="0" w:firstLine="709"/>
        <w:jc w:val="both"/>
        <w:rPr>
          <w:szCs w:val="24"/>
        </w:rPr>
      </w:pPr>
      <w:r w:rsidRPr="00830F3B">
        <w:rPr>
          <w:szCs w:val="24"/>
        </w:rPr>
        <w:t>Piedāvājums jāaizpilda elektroniski ar Microsoft Office 2016</w:t>
      </w:r>
      <w:r w:rsidRPr="00F67391">
        <w:rPr>
          <w:szCs w:val="24"/>
        </w:rPr>
        <w:t xml:space="preserve"> (vai jaunākas programmatūras versijas) rīkiem lasāmā formātā;</w:t>
      </w:r>
    </w:p>
    <w:p w14:paraId="53EB08FF" w14:textId="77777777" w:rsidR="001375F2" w:rsidRPr="00F67391" w:rsidRDefault="001375F2" w:rsidP="002F5E25">
      <w:pPr>
        <w:pStyle w:val="ListParagraph"/>
        <w:numPr>
          <w:ilvl w:val="1"/>
          <w:numId w:val="1"/>
        </w:numPr>
        <w:tabs>
          <w:tab w:val="left" w:pos="1134"/>
        </w:tabs>
        <w:ind w:left="0" w:firstLine="709"/>
        <w:jc w:val="both"/>
        <w:rPr>
          <w:szCs w:val="24"/>
        </w:rPr>
      </w:pPr>
      <w:r w:rsidRPr="00F67391">
        <w:rPr>
          <w:szCs w:val="24"/>
        </w:rPr>
        <w:t>Pretendents pirms piedāvājumu iesniegšanas termiņa beigām var grozīt vai atsaukt iesniegto piedāvājumu.</w:t>
      </w:r>
    </w:p>
    <w:p w14:paraId="7AC512B3" w14:textId="77777777" w:rsidR="001375F2" w:rsidRPr="00F67391" w:rsidRDefault="001375F2" w:rsidP="002F5E25">
      <w:pPr>
        <w:pStyle w:val="ListParagraph"/>
        <w:numPr>
          <w:ilvl w:val="1"/>
          <w:numId w:val="1"/>
        </w:numPr>
        <w:tabs>
          <w:tab w:val="left" w:pos="1134"/>
        </w:tabs>
        <w:ind w:left="0" w:firstLine="709"/>
        <w:jc w:val="both"/>
        <w:rPr>
          <w:szCs w:val="24"/>
        </w:rPr>
      </w:pPr>
      <w:r w:rsidRPr="00F67391">
        <w:rPr>
          <w:szCs w:val="24"/>
        </w:rPr>
        <w:t>Pēc piedāvājuma iesniegšanas termiņa beigām pretendentam nav tiesību mainīt savu piedāvājumu.</w:t>
      </w:r>
    </w:p>
    <w:p w14:paraId="756B44BA" w14:textId="77777777" w:rsidR="001375F2" w:rsidRPr="00F67391" w:rsidRDefault="001375F2" w:rsidP="002F5E25">
      <w:pPr>
        <w:pStyle w:val="ListParagraph"/>
        <w:numPr>
          <w:ilvl w:val="1"/>
          <w:numId w:val="1"/>
        </w:numPr>
        <w:tabs>
          <w:tab w:val="left" w:pos="1134"/>
        </w:tabs>
        <w:ind w:left="0" w:firstLine="709"/>
        <w:jc w:val="both"/>
        <w:rPr>
          <w:szCs w:val="24"/>
        </w:rPr>
      </w:pPr>
      <w:r w:rsidRPr="00F67391">
        <w:rPr>
          <w:szCs w:val="24"/>
        </w:rPr>
        <w:t>Piedāvājumam  jābūt aizsargātam, izmantojot šifrēšanu. Instrukciju skat. 1.pielikumā.</w:t>
      </w:r>
    </w:p>
    <w:p w14:paraId="2F387C65" w14:textId="1C04A310" w:rsidR="001375F2" w:rsidRPr="00F67391" w:rsidRDefault="001375F2" w:rsidP="002F5E25">
      <w:pPr>
        <w:pStyle w:val="ListParagraph"/>
        <w:numPr>
          <w:ilvl w:val="1"/>
          <w:numId w:val="1"/>
        </w:numPr>
        <w:tabs>
          <w:tab w:val="left" w:pos="1134"/>
        </w:tabs>
        <w:ind w:left="0" w:firstLine="709"/>
        <w:jc w:val="both"/>
        <w:rPr>
          <w:b/>
          <w:bCs/>
          <w:szCs w:val="24"/>
        </w:rPr>
      </w:pPr>
      <w:r w:rsidRPr="00F67391">
        <w:rPr>
          <w:b/>
          <w:bCs/>
          <w:szCs w:val="24"/>
        </w:rPr>
        <w:t xml:space="preserve">Piedāvājuma iesniedzējs </w:t>
      </w:r>
      <w:r w:rsidR="005513B1" w:rsidRPr="00F67391">
        <w:rPr>
          <w:b/>
          <w:bCs/>
          <w:szCs w:val="24"/>
        </w:rPr>
        <w:t>202</w:t>
      </w:r>
      <w:r w:rsidR="00830F3B">
        <w:rPr>
          <w:b/>
          <w:bCs/>
          <w:szCs w:val="24"/>
        </w:rPr>
        <w:t>6</w:t>
      </w:r>
      <w:r w:rsidR="00830F3B" w:rsidRPr="00F67391">
        <w:rPr>
          <w:b/>
          <w:bCs/>
          <w:szCs w:val="24"/>
        </w:rPr>
        <w:t> </w:t>
      </w:r>
      <w:r w:rsidRPr="00F67391">
        <w:rPr>
          <w:b/>
          <w:bCs/>
          <w:szCs w:val="24"/>
        </w:rPr>
        <w:t xml:space="preserve">gada </w:t>
      </w:r>
      <w:r w:rsidR="007B29A2">
        <w:rPr>
          <w:b/>
          <w:bCs/>
          <w:szCs w:val="24"/>
        </w:rPr>
        <w:t>25</w:t>
      </w:r>
      <w:r w:rsidR="00830F3B">
        <w:rPr>
          <w:b/>
          <w:bCs/>
          <w:szCs w:val="24"/>
        </w:rPr>
        <w:t xml:space="preserve">.jūnijā </w:t>
      </w:r>
      <w:r w:rsidRPr="00F67391">
        <w:rPr>
          <w:b/>
          <w:bCs/>
          <w:szCs w:val="24"/>
        </w:rPr>
        <w:t xml:space="preserve">no plkst. 10.00 līdz plkst. 11.00 nosūta uz elektronisko pasta adresi: </w:t>
      </w:r>
      <w:r w:rsidR="00830F3B">
        <w:rPr>
          <w:b/>
          <w:bCs/>
          <w:szCs w:val="24"/>
        </w:rPr>
        <w:t>antra.vimane</w:t>
      </w:r>
      <w:r w:rsidR="00830F3B" w:rsidRPr="00F67391">
        <w:rPr>
          <w:b/>
          <w:bCs/>
          <w:szCs w:val="24"/>
        </w:rPr>
        <w:t>@</w:t>
      </w:r>
      <w:r w:rsidRPr="00F67391">
        <w:rPr>
          <w:b/>
          <w:bCs/>
          <w:szCs w:val="24"/>
        </w:rPr>
        <w:t xml:space="preserve">vid.gov.lv paroli šifrētā piedāvājuma atvēršanai. </w:t>
      </w:r>
    </w:p>
    <w:p w14:paraId="25090D07" w14:textId="18EBCC32" w:rsidR="001375F2" w:rsidRPr="00F67391" w:rsidRDefault="001375F2" w:rsidP="002F5E25">
      <w:pPr>
        <w:pStyle w:val="ListParagraph"/>
        <w:numPr>
          <w:ilvl w:val="1"/>
          <w:numId w:val="1"/>
        </w:numPr>
        <w:tabs>
          <w:tab w:val="left" w:pos="1134"/>
        </w:tabs>
        <w:ind w:left="0" w:firstLine="709"/>
        <w:jc w:val="both"/>
        <w:rPr>
          <w:szCs w:val="24"/>
        </w:rPr>
      </w:pPr>
      <w:r w:rsidRPr="00F67391">
        <w:rPr>
          <w:szCs w:val="24"/>
        </w:rPr>
        <w:t>Piedāvājumu, kas nav iesniegts noteiktajā kārtībā vai kas ir iesniegts nešifrētā veidā un/vai kuram šīs sadaļas 5.</w:t>
      </w:r>
      <w:r w:rsidR="00CF5F73" w:rsidRPr="00F67391">
        <w:rPr>
          <w:szCs w:val="24"/>
        </w:rPr>
        <w:t>5. apakš</w:t>
      </w:r>
      <w:r w:rsidRPr="00F67391">
        <w:rPr>
          <w:szCs w:val="24"/>
        </w:rPr>
        <w:t>punktā noteiktajā termiņā nav atsūtīta parole, Pasūtītājs neizskata.</w:t>
      </w:r>
    </w:p>
    <w:p w14:paraId="0C420E32" w14:textId="6AF4AA8D" w:rsidR="00055B1F" w:rsidRPr="000A2CBB" w:rsidRDefault="00055B1F" w:rsidP="005513B1">
      <w:pPr>
        <w:pStyle w:val="ListParagraph"/>
        <w:numPr>
          <w:ilvl w:val="1"/>
          <w:numId w:val="1"/>
        </w:numPr>
        <w:tabs>
          <w:tab w:val="left" w:pos="1134"/>
        </w:tabs>
        <w:ind w:left="0" w:firstLine="709"/>
        <w:jc w:val="both"/>
        <w:rPr>
          <w:i/>
          <w:iCs/>
          <w:szCs w:val="24"/>
          <w:lang w:eastAsia="lv-LV"/>
        </w:rPr>
      </w:pPr>
      <w:r w:rsidRPr="000A2CBB">
        <w:rPr>
          <w:szCs w:val="24"/>
        </w:rPr>
        <w:t xml:space="preserve">Lai piedāvājums tiktu saņemts VID, lūdzam personas piedāvājumu iesniegšanai izmantot e-pastu, kura sūtījuma FROM adreses domēns sakrīt ar faktiskā sūtītāja domēnu. </w:t>
      </w:r>
    </w:p>
    <w:p w14:paraId="6BB7388D" w14:textId="25F4D628" w:rsidR="002F7069" w:rsidRPr="00F67391" w:rsidRDefault="00055B1F" w:rsidP="002F7069">
      <w:pPr>
        <w:pStyle w:val="ListParagraph"/>
        <w:numPr>
          <w:ilvl w:val="1"/>
          <w:numId w:val="1"/>
        </w:numPr>
        <w:tabs>
          <w:tab w:val="left" w:pos="1134"/>
        </w:tabs>
        <w:ind w:left="0" w:firstLine="709"/>
        <w:jc w:val="both"/>
        <w:rPr>
          <w:rFonts w:eastAsia="Times New Roman" w:cs="Times New Roman"/>
          <w:szCs w:val="24"/>
          <w:lang w:eastAsia="lv-LV"/>
        </w:rPr>
      </w:pPr>
      <w:r w:rsidRPr="000A2CBB">
        <w:rPr>
          <w:szCs w:val="24"/>
        </w:rPr>
        <w:t>Aicinām</w:t>
      </w:r>
      <w:r w:rsidRPr="00F67391">
        <w:rPr>
          <w:szCs w:val="24"/>
        </w:rPr>
        <w:t xml:space="preserve"> pretendentu pēc piedāvājuma nosūtīšanas pārliecināties vai tiek saņemta atbilde, kas apliecina</w:t>
      </w:r>
      <w:r w:rsidRPr="00F67391">
        <w:rPr>
          <w:iCs/>
          <w:szCs w:val="24"/>
        </w:rPr>
        <w:t xml:space="preserve"> piedāvājuma saņemšanu. Atbildes nesaņemšanas gadījumā zvanīt – </w:t>
      </w:r>
      <w:proofErr w:type="spellStart"/>
      <w:r w:rsidR="00830F3B">
        <w:rPr>
          <w:iCs/>
          <w:szCs w:val="24"/>
        </w:rPr>
        <w:t>Antra.Vīmane</w:t>
      </w:r>
      <w:proofErr w:type="spellEnd"/>
      <w:r w:rsidR="00830F3B">
        <w:rPr>
          <w:iCs/>
          <w:szCs w:val="24"/>
        </w:rPr>
        <w:t xml:space="preserve"> tālr. 67120205 vai  Jana Lāce tālr. 67120192</w:t>
      </w: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830F3B">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8F33" w14:textId="77777777" w:rsidR="00F9387B" w:rsidRDefault="00F9387B" w:rsidP="00183526">
      <w:r>
        <w:separator/>
      </w:r>
    </w:p>
  </w:endnote>
  <w:endnote w:type="continuationSeparator" w:id="0">
    <w:p w14:paraId="3BCD47D1" w14:textId="77777777" w:rsidR="00F9387B" w:rsidRDefault="00F9387B" w:rsidP="00183526">
      <w:r>
        <w:continuationSeparator/>
      </w:r>
    </w:p>
  </w:endnote>
  <w:endnote w:type="continuationNotice" w:id="1">
    <w:p w14:paraId="00EAE901" w14:textId="77777777" w:rsidR="00F9387B" w:rsidRDefault="00F938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2BADC" w14:textId="77777777" w:rsidR="00F9387B" w:rsidRDefault="00F9387B" w:rsidP="00183526">
      <w:r>
        <w:separator/>
      </w:r>
    </w:p>
  </w:footnote>
  <w:footnote w:type="continuationSeparator" w:id="0">
    <w:p w14:paraId="3F37CC85" w14:textId="77777777" w:rsidR="00F9387B" w:rsidRDefault="00F9387B" w:rsidP="00183526">
      <w:r>
        <w:continuationSeparator/>
      </w:r>
    </w:p>
  </w:footnote>
  <w:footnote w:type="continuationNotice" w:id="1">
    <w:p w14:paraId="5DCB908B" w14:textId="77777777" w:rsidR="00F9387B" w:rsidRDefault="00F9387B"/>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08C1E596" w14:textId="3A5A6DAF" w:rsidR="00C127B3" w:rsidRDefault="00C127B3" w:rsidP="000A2CBB">
      <w:pPr>
        <w:pStyle w:val="FootnoteText"/>
        <w:jc w:val="both"/>
      </w:pPr>
      <w:r>
        <w:rPr>
          <w:rStyle w:val="FootnoteReference"/>
        </w:rPr>
        <w:footnoteRef/>
      </w:r>
      <w:r>
        <w:t xml:space="preserve"> </w:t>
      </w:r>
      <w:r w:rsidRPr="00C127B3">
        <w:t>Ja piedāvājumā iekļautos dokumentus paraksta pretendenta pilnvarota persona, piedāvājumam pievieno pretendenta pārstāvja ar paraksta tiesībām izdotu pilnvaru (oriģinālu vai apliecinātu kopiju) attiecīgajai personai pārstāvēt pretendenta intereses.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F04CB"/>
    <w:multiLevelType w:val="hybridMultilevel"/>
    <w:tmpl w:val="7BEEB9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006592"/>
    <w:multiLevelType w:val="hybridMultilevel"/>
    <w:tmpl w:val="DE84EC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2"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4"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4D9178B"/>
    <w:multiLevelType w:val="hybridMultilevel"/>
    <w:tmpl w:val="CC1009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9"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0"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6D52D3D"/>
    <w:multiLevelType w:val="hybridMultilevel"/>
    <w:tmpl w:val="0DEC7F0E"/>
    <w:lvl w:ilvl="0" w:tplc="7F6CB93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76E19A8"/>
    <w:multiLevelType w:val="hybridMultilevel"/>
    <w:tmpl w:val="0ABAFA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4" w15:restartNumberingAfterBreak="0">
    <w:nsid w:val="4C731C95"/>
    <w:multiLevelType w:val="multilevel"/>
    <w:tmpl w:val="378A0F6A"/>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1211"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bCs/>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5"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05B719E"/>
    <w:multiLevelType w:val="hybridMultilevel"/>
    <w:tmpl w:val="1982DF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08C4FAA"/>
    <w:multiLevelType w:val="hybridMultilevel"/>
    <w:tmpl w:val="FD5E93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BDA0218"/>
    <w:multiLevelType w:val="hybridMultilevel"/>
    <w:tmpl w:val="022A55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D833D1A"/>
    <w:multiLevelType w:val="hybridMultilevel"/>
    <w:tmpl w:val="B6A672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EC16569"/>
    <w:multiLevelType w:val="hybridMultilevel"/>
    <w:tmpl w:val="543CE6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0BB202B"/>
    <w:multiLevelType w:val="hybridMultilevel"/>
    <w:tmpl w:val="9B6868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3545D13"/>
    <w:multiLevelType w:val="multilevel"/>
    <w:tmpl w:val="1E587C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5647697"/>
    <w:multiLevelType w:val="hybridMultilevel"/>
    <w:tmpl w:val="A1BE8B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9" w15:restartNumberingAfterBreak="0">
    <w:nsid w:val="68C763B0"/>
    <w:multiLevelType w:val="hybridMultilevel"/>
    <w:tmpl w:val="6ABC44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AA46060"/>
    <w:multiLevelType w:val="hybridMultilevel"/>
    <w:tmpl w:val="C2F602A6"/>
    <w:lvl w:ilvl="0" w:tplc="808E296E">
      <w:numFmt w:val="bullet"/>
      <w:lvlText w:val="-"/>
      <w:lvlJc w:val="left"/>
      <w:pPr>
        <w:ind w:left="495" w:hanging="360"/>
      </w:pPr>
      <w:rPr>
        <w:rFonts w:ascii="Times New Roman" w:eastAsia="Times New Roman" w:hAnsi="Times New Roman" w:cs="Times New Roman" w:hint="default"/>
      </w:rPr>
    </w:lvl>
    <w:lvl w:ilvl="1" w:tplc="04260003" w:tentative="1">
      <w:start w:val="1"/>
      <w:numFmt w:val="bullet"/>
      <w:lvlText w:val="o"/>
      <w:lvlJc w:val="left"/>
      <w:pPr>
        <w:ind w:left="1215" w:hanging="360"/>
      </w:pPr>
      <w:rPr>
        <w:rFonts w:ascii="Courier New" w:hAnsi="Courier New" w:cs="Courier New" w:hint="default"/>
      </w:rPr>
    </w:lvl>
    <w:lvl w:ilvl="2" w:tplc="04260005" w:tentative="1">
      <w:start w:val="1"/>
      <w:numFmt w:val="bullet"/>
      <w:lvlText w:val=""/>
      <w:lvlJc w:val="left"/>
      <w:pPr>
        <w:ind w:left="1935" w:hanging="360"/>
      </w:pPr>
      <w:rPr>
        <w:rFonts w:ascii="Wingdings" w:hAnsi="Wingdings" w:hint="default"/>
      </w:rPr>
    </w:lvl>
    <w:lvl w:ilvl="3" w:tplc="04260001" w:tentative="1">
      <w:start w:val="1"/>
      <w:numFmt w:val="bullet"/>
      <w:lvlText w:val=""/>
      <w:lvlJc w:val="left"/>
      <w:pPr>
        <w:ind w:left="2655" w:hanging="360"/>
      </w:pPr>
      <w:rPr>
        <w:rFonts w:ascii="Symbol" w:hAnsi="Symbol" w:hint="default"/>
      </w:rPr>
    </w:lvl>
    <w:lvl w:ilvl="4" w:tplc="04260003" w:tentative="1">
      <w:start w:val="1"/>
      <w:numFmt w:val="bullet"/>
      <w:lvlText w:val="o"/>
      <w:lvlJc w:val="left"/>
      <w:pPr>
        <w:ind w:left="3375" w:hanging="360"/>
      </w:pPr>
      <w:rPr>
        <w:rFonts w:ascii="Courier New" w:hAnsi="Courier New" w:cs="Courier New" w:hint="default"/>
      </w:rPr>
    </w:lvl>
    <w:lvl w:ilvl="5" w:tplc="04260005" w:tentative="1">
      <w:start w:val="1"/>
      <w:numFmt w:val="bullet"/>
      <w:lvlText w:val=""/>
      <w:lvlJc w:val="left"/>
      <w:pPr>
        <w:ind w:left="4095" w:hanging="360"/>
      </w:pPr>
      <w:rPr>
        <w:rFonts w:ascii="Wingdings" w:hAnsi="Wingdings" w:hint="default"/>
      </w:rPr>
    </w:lvl>
    <w:lvl w:ilvl="6" w:tplc="04260001" w:tentative="1">
      <w:start w:val="1"/>
      <w:numFmt w:val="bullet"/>
      <w:lvlText w:val=""/>
      <w:lvlJc w:val="left"/>
      <w:pPr>
        <w:ind w:left="4815" w:hanging="360"/>
      </w:pPr>
      <w:rPr>
        <w:rFonts w:ascii="Symbol" w:hAnsi="Symbol" w:hint="default"/>
      </w:rPr>
    </w:lvl>
    <w:lvl w:ilvl="7" w:tplc="04260003" w:tentative="1">
      <w:start w:val="1"/>
      <w:numFmt w:val="bullet"/>
      <w:lvlText w:val="o"/>
      <w:lvlJc w:val="left"/>
      <w:pPr>
        <w:ind w:left="5535" w:hanging="360"/>
      </w:pPr>
      <w:rPr>
        <w:rFonts w:ascii="Courier New" w:hAnsi="Courier New" w:cs="Courier New" w:hint="default"/>
      </w:rPr>
    </w:lvl>
    <w:lvl w:ilvl="8" w:tplc="04260005" w:tentative="1">
      <w:start w:val="1"/>
      <w:numFmt w:val="bullet"/>
      <w:lvlText w:val=""/>
      <w:lvlJc w:val="left"/>
      <w:pPr>
        <w:ind w:left="6255" w:hanging="360"/>
      </w:pPr>
      <w:rPr>
        <w:rFonts w:ascii="Wingdings" w:hAnsi="Wingdings" w:hint="default"/>
      </w:rPr>
    </w:lvl>
  </w:abstractNum>
  <w:abstractNum w:abstractNumId="51"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3" w15:restartNumberingAfterBreak="0">
    <w:nsid w:val="6B9B5C5E"/>
    <w:multiLevelType w:val="hybridMultilevel"/>
    <w:tmpl w:val="77CAE3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6C512D9E"/>
    <w:multiLevelType w:val="hybridMultilevel"/>
    <w:tmpl w:val="44EC88A4"/>
    <w:lvl w:ilvl="0" w:tplc="0134647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A276A49"/>
    <w:multiLevelType w:val="hybridMultilevel"/>
    <w:tmpl w:val="5C48A9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33607031">
    <w:abstractNumId w:val="21"/>
  </w:num>
  <w:num w:numId="2" w16cid:durableId="1500927709">
    <w:abstractNumId w:val="24"/>
  </w:num>
  <w:num w:numId="3" w16cid:durableId="767383059">
    <w:abstractNumId w:val="1"/>
  </w:num>
  <w:num w:numId="4" w16cid:durableId="771781543">
    <w:abstractNumId w:val="51"/>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5"/>
  </w:num>
  <w:num w:numId="7" w16cid:durableId="1355493408">
    <w:abstractNumId w:val="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3"/>
  </w:num>
  <w:num w:numId="11" w16cid:durableId="41056034">
    <w:abstractNumId w:val="11"/>
  </w:num>
  <w:num w:numId="12" w16cid:durableId="1926918543">
    <w:abstractNumId w:val="44"/>
  </w:num>
  <w:num w:numId="13" w16cid:durableId="1606426433">
    <w:abstractNumId w:val="8"/>
  </w:num>
  <w:num w:numId="14" w16cid:durableId="298806307">
    <w:abstractNumId w:val="56"/>
  </w:num>
  <w:num w:numId="15" w16cid:durableId="1364211704">
    <w:abstractNumId w:val="35"/>
  </w:num>
  <w:num w:numId="16" w16cid:durableId="1727993836">
    <w:abstractNumId w:val="33"/>
  </w:num>
  <w:num w:numId="17" w16cid:durableId="185801260">
    <w:abstractNumId w:val="7"/>
  </w:num>
  <w:num w:numId="18" w16cid:durableId="1604146751">
    <w:abstractNumId w:val="6"/>
  </w:num>
  <w:num w:numId="19" w16cid:durableId="82386620">
    <w:abstractNumId w:val="57"/>
  </w:num>
  <w:num w:numId="20" w16cid:durableId="791241671">
    <w:abstractNumId w:val="2"/>
  </w:num>
  <w:num w:numId="21" w16cid:durableId="1472362145">
    <w:abstractNumId w:val="18"/>
  </w:num>
  <w:num w:numId="22" w16cid:durableId="1099524379">
    <w:abstractNumId w:val="46"/>
  </w:num>
  <w:num w:numId="23" w16cid:durableId="122433928">
    <w:abstractNumId w:val="30"/>
  </w:num>
  <w:num w:numId="24" w16cid:durableId="1359232207">
    <w:abstractNumId w:val="55"/>
  </w:num>
  <w:num w:numId="25" w16cid:durableId="303237464">
    <w:abstractNumId w:val="9"/>
  </w:num>
  <w:num w:numId="26" w16cid:durableId="562646045">
    <w:abstractNumId w:val="27"/>
  </w:num>
  <w:num w:numId="27" w16cid:durableId="616837573">
    <w:abstractNumId w:val="22"/>
  </w:num>
  <w:num w:numId="28" w16cid:durableId="1285425847">
    <w:abstractNumId w:val="16"/>
  </w:num>
  <w:num w:numId="29" w16cid:durableId="255789602">
    <w:abstractNumId w:val="14"/>
  </w:num>
  <w:num w:numId="30" w16cid:durableId="1185361322">
    <w:abstractNumId w:val="15"/>
  </w:num>
  <w:num w:numId="31" w16cid:durableId="1199126460">
    <w:abstractNumId w:val="48"/>
  </w:num>
  <w:num w:numId="32" w16cid:durableId="911039321">
    <w:abstractNumId w:val="34"/>
  </w:num>
  <w:num w:numId="33" w16cid:durableId="2107341477">
    <w:abstractNumId w:val="29"/>
  </w:num>
  <w:num w:numId="34" w16cid:durableId="1821925811">
    <w:abstractNumId w:val="0"/>
  </w:num>
  <w:num w:numId="35" w16cid:durableId="838889223">
    <w:abstractNumId w:val="45"/>
  </w:num>
  <w:num w:numId="36" w16cid:durableId="1652055705">
    <w:abstractNumId w:val="26"/>
  </w:num>
  <w:num w:numId="37" w16cid:durableId="1669020823">
    <w:abstractNumId w:val="0"/>
  </w:num>
  <w:num w:numId="38" w16cid:durableId="1021661606">
    <w:abstractNumId w:val="0"/>
  </w:num>
  <w:num w:numId="39" w16cid:durableId="206072610">
    <w:abstractNumId w:val="10"/>
  </w:num>
  <w:num w:numId="40" w16cid:durableId="1727488645">
    <w:abstractNumId w:val="38"/>
  </w:num>
  <w:num w:numId="41" w16cid:durableId="233315903">
    <w:abstractNumId w:val="13"/>
  </w:num>
  <w:num w:numId="42" w16cid:durableId="309483166">
    <w:abstractNumId w:val="23"/>
  </w:num>
  <w:num w:numId="43" w16cid:durableId="871380624">
    <w:abstractNumId w:val="28"/>
  </w:num>
  <w:num w:numId="44" w16cid:durableId="891307002">
    <w:abstractNumId w:val="43"/>
  </w:num>
  <w:num w:numId="45" w16cid:durableId="1084570894">
    <w:abstractNumId w:val="54"/>
  </w:num>
  <w:num w:numId="46" w16cid:durableId="1959602944">
    <w:abstractNumId w:val="4"/>
  </w:num>
  <w:num w:numId="47" w16cid:durableId="479689561">
    <w:abstractNumId w:val="36"/>
  </w:num>
  <w:num w:numId="48" w16cid:durableId="1121922446">
    <w:abstractNumId w:val="41"/>
  </w:num>
  <w:num w:numId="49" w16cid:durableId="2060589091">
    <w:abstractNumId w:val="20"/>
  </w:num>
  <w:num w:numId="50" w16cid:durableId="1259363970">
    <w:abstractNumId w:val="47"/>
  </w:num>
  <w:num w:numId="51" w16cid:durableId="1849173340">
    <w:abstractNumId w:val="58"/>
  </w:num>
  <w:num w:numId="52" w16cid:durableId="1117869400">
    <w:abstractNumId w:val="32"/>
  </w:num>
  <w:num w:numId="53" w16cid:durableId="1463109441">
    <w:abstractNumId w:val="39"/>
  </w:num>
  <w:num w:numId="54" w16cid:durableId="1531257128">
    <w:abstractNumId w:val="25"/>
  </w:num>
  <w:num w:numId="55" w16cid:durableId="1759327528">
    <w:abstractNumId w:val="53"/>
  </w:num>
  <w:num w:numId="56" w16cid:durableId="1551770088">
    <w:abstractNumId w:val="49"/>
  </w:num>
  <w:num w:numId="57" w16cid:durableId="1960528245">
    <w:abstractNumId w:val="40"/>
  </w:num>
  <w:num w:numId="58" w16cid:durableId="1301690400">
    <w:abstractNumId w:val="37"/>
  </w:num>
  <w:num w:numId="59" w16cid:durableId="68626032">
    <w:abstractNumId w:val="42"/>
  </w:num>
  <w:num w:numId="60" w16cid:durableId="58747732">
    <w:abstractNumId w:val="50"/>
  </w:num>
  <w:num w:numId="61" w16cid:durableId="1344697786">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16140"/>
    <w:rsid w:val="000253D3"/>
    <w:rsid w:val="00025B6C"/>
    <w:rsid w:val="00032351"/>
    <w:rsid w:val="000341F3"/>
    <w:rsid w:val="00034770"/>
    <w:rsid w:val="0004035E"/>
    <w:rsid w:val="00047F92"/>
    <w:rsid w:val="00054748"/>
    <w:rsid w:val="00055163"/>
    <w:rsid w:val="00055B1F"/>
    <w:rsid w:val="00056721"/>
    <w:rsid w:val="0006163F"/>
    <w:rsid w:val="00061AAB"/>
    <w:rsid w:val="000664A4"/>
    <w:rsid w:val="00067127"/>
    <w:rsid w:val="00070641"/>
    <w:rsid w:val="00070B01"/>
    <w:rsid w:val="000776A7"/>
    <w:rsid w:val="000835B7"/>
    <w:rsid w:val="00085BE6"/>
    <w:rsid w:val="00086A7A"/>
    <w:rsid w:val="00087D18"/>
    <w:rsid w:val="0009245D"/>
    <w:rsid w:val="000A0838"/>
    <w:rsid w:val="000A163C"/>
    <w:rsid w:val="000A2CBB"/>
    <w:rsid w:val="000A3F84"/>
    <w:rsid w:val="000B29D6"/>
    <w:rsid w:val="000C23CD"/>
    <w:rsid w:val="000C6592"/>
    <w:rsid w:val="000D2092"/>
    <w:rsid w:val="000D2954"/>
    <w:rsid w:val="000D705E"/>
    <w:rsid w:val="000D7490"/>
    <w:rsid w:val="000E345B"/>
    <w:rsid w:val="000F0012"/>
    <w:rsid w:val="000F4217"/>
    <w:rsid w:val="000F5054"/>
    <w:rsid w:val="00100D7C"/>
    <w:rsid w:val="001026E7"/>
    <w:rsid w:val="0010542E"/>
    <w:rsid w:val="00112522"/>
    <w:rsid w:val="00112C30"/>
    <w:rsid w:val="00113380"/>
    <w:rsid w:val="00122319"/>
    <w:rsid w:val="00123564"/>
    <w:rsid w:val="001266DF"/>
    <w:rsid w:val="00127A17"/>
    <w:rsid w:val="00127B5E"/>
    <w:rsid w:val="00127DB0"/>
    <w:rsid w:val="00130885"/>
    <w:rsid w:val="001338F7"/>
    <w:rsid w:val="001375F2"/>
    <w:rsid w:val="001375F4"/>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9700C"/>
    <w:rsid w:val="001A00E5"/>
    <w:rsid w:val="001A0D90"/>
    <w:rsid w:val="001A1CC5"/>
    <w:rsid w:val="001B1734"/>
    <w:rsid w:val="001B293F"/>
    <w:rsid w:val="001B3229"/>
    <w:rsid w:val="001B47E2"/>
    <w:rsid w:val="001B77CF"/>
    <w:rsid w:val="001C0483"/>
    <w:rsid w:val="001C28B3"/>
    <w:rsid w:val="001C327F"/>
    <w:rsid w:val="001D0800"/>
    <w:rsid w:val="001D08A3"/>
    <w:rsid w:val="001D4F07"/>
    <w:rsid w:val="001D6A6E"/>
    <w:rsid w:val="001D7F8C"/>
    <w:rsid w:val="001E1C18"/>
    <w:rsid w:val="001E22B4"/>
    <w:rsid w:val="001E7089"/>
    <w:rsid w:val="001E7C30"/>
    <w:rsid w:val="001F0206"/>
    <w:rsid w:val="001F09F7"/>
    <w:rsid w:val="001F1B7B"/>
    <w:rsid w:val="001F1BE9"/>
    <w:rsid w:val="001F75B4"/>
    <w:rsid w:val="00203DFB"/>
    <w:rsid w:val="00207472"/>
    <w:rsid w:val="00207D99"/>
    <w:rsid w:val="00211D3D"/>
    <w:rsid w:val="00212746"/>
    <w:rsid w:val="00217107"/>
    <w:rsid w:val="002221B8"/>
    <w:rsid w:val="00227D10"/>
    <w:rsid w:val="00231AAF"/>
    <w:rsid w:val="00233CE4"/>
    <w:rsid w:val="00233DB3"/>
    <w:rsid w:val="0023453C"/>
    <w:rsid w:val="00236B9A"/>
    <w:rsid w:val="00240842"/>
    <w:rsid w:val="002412BF"/>
    <w:rsid w:val="00243089"/>
    <w:rsid w:val="0024395C"/>
    <w:rsid w:val="002472AB"/>
    <w:rsid w:val="00247646"/>
    <w:rsid w:val="00251438"/>
    <w:rsid w:val="00252978"/>
    <w:rsid w:val="002540C5"/>
    <w:rsid w:val="00254D9C"/>
    <w:rsid w:val="00257E53"/>
    <w:rsid w:val="002628B5"/>
    <w:rsid w:val="00263A8B"/>
    <w:rsid w:val="00264ACD"/>
    <w:rsid w:val="002652F2"/>
    <w:rsid w:val="00275CE1"/>
    <w:rsid w:val="0028070E"/>
    <w:rsid w:val="002821EA"/>
    <w:rsid w:val="002867D5"/>
    <w:rsid w:val="0029358F"/>
    <w:rsid w:val="002A574D"/>
    <w:rsid w:val="002A630D"/>
    <w:rsid w:val="002A72E0"/>
    <w:rsid w:val="002B0FCF"/>
    <w:rsid w:val="002B334F"/>
    <w:rsid w:val="002B4268"/>
    <w:rsid w:val="002B6DEB"/>
    <w:rsid w:val="002B79AD"/>
    <w:rsid w:val="002C3280"/>
    <w:rsid w:val="002C3CA6"/>
    <w:rsid w:val="002D2490"/>
    <w:rsid w:val="002D299B"/>
    <w:rsid w:val="002E3288"/>
    <w:rsid w:val="002E4DCA"/>
    <w:rsid w:val="002E4F68"/>
    <w:rsid w:val="002E7319"/>
    <w:rsid w:val="002E74A7"/>
    <w:rsid w:val="002F42A8"/>
    <w:rsid w:val="002F4891"/>
    <w:rsid w:val="002F5E25"/>
    <w:rsid w:val="002F7069"/>
    <w:rsid w:val="002F797F"/>
    <w:rsid w:val="003127E8"/>
    <w:rsid w:val="00313B3B"/>
    <w:rsid w:val="00320940"/>
    <w:rsid w:val="00320A84"/>
    <w:rsid w:val="003219DE"/>
    <w:rsid w:val="00321B9B"/>
    <w:rsid w:val="0032466D"/>
    <w:rsid w:val="00326F16"/>
    <w:rsid w:val="00331763"/>
    <w:rsid w:val="00333C47"/>
    <w:rsid w:val="00337B84"/>
    <w:rsid w:val="003435AD"/>
    <w:rsid w:val="00343FC8"/>
    <w:rsid w:val="003440CA"/>
    <w:rsid w:val="00350730"/>
    <w:rsid w:val="0035224F"/>
    <w:rsid w:val="00354E17"/>
    <w:rsid w:val="00360B63"/>
    <w:rsid w:val="00361DFE"/>
    <w:rsid w:val="00363CC4"/>
    <w:rsid w:val="00363DA9"/>
    <w:rsid w:val="00366148"/>
    <w:rsid w:val="0037158A"/>
    <w:rsid w:val="00372165"/>
    <w:rsid w:val="003723E1"/>
    <w:rsid w:val="00373DE8"/>
    <w:rsid w:val="003806B3"/>
    <w:rsid w:val="003828F1"/>
    <w:rsid w:val="0038448D"/>
    <w:rsid w:val="00384803"/>
    <w:rsid w:val="003849DD"/>
    <w:rsid w:val="003854BA"/>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8E1"/>
    <w:rsid w:val="00433314"/>
    <w:rsid w:val="00433E2B"/>
    <w:rsid w:val="00437B95"/>
    <w:rsid w:val="00443A9C"/>
    <w:rsid w:val="00443C4E"/>
    <w:rsid w:val="00445A1A"/>
    <w:rsid w:val="00450B69"/>
    <w:rsid w:val="004567F0"/>
    <w:rsid w:val="00466C6B"/>
    <w:rsid w:val="0047278D"/>
    <w:rsid w:val="00475B0E"/>
    <w:rsid w:val="00480763"/>
    <w:rsid w:val="00481C07"/>
    <w:rsid w:val="0048494D"/>
    <w:rsid w:val="00484C79"/>
    <w:rsid w:val="00486BEC"/>
    <w:rsid w:val="00487191"/>
    <w:rsid w:val="0049218D"/>
    <w:rsid w:val="00497900"/>
    <w:rsid w:val="004B2418"/>
    <w:rsid w:val="004B36DC"/>
    <w:rsid w:val="004B3C64"/>
    <w:rsid w:val="004B47CE"/>
    <w:rsid w:val="004B501C"/>
    <w:rsid w:val="004B67A8"/>
    <w:rsid w:val="004C02A0"/>
    <w:rsid w:val="004C4561"/>
    <w:rsid w:val="004D27CA"/>
    <w:rsid w:val="004D2AC6"/>
    <w:rsid w:val="004D2CB9"/>
    <w:rsid w:val="004D71E0"/>
    <w:rsid w:val="004D79E1"/>
    <w:rsid w:val="004E0380"/>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3E5F"/>
    <w:rsid w:val="00526901"/>
    <w:rsid w:val="00531E9F"/>
    <w:rsid w:val="005449CA"/>
    <w:rsid w:val="00545565"/>
    <w:rsid w:val="005478D1"/>
    <w:rsid w:val="00550C85"/>
    <w:rsid w:val="005513B1"/>
    <w:rsid w:val="005519D6"/>
    <w:rsid w:val="00552D7C"/>
    <w:rsid w:val="0055402F"/>
    <w:rsid w:val="005573A4"/>
    <w:rsid w:val="005641EB"/>
    <w:rsid w:val="00565858"/>
    <w:rsid w:val="00566785"/>
    <w:rsid w:val="00566939"/>
    <w:rsid w:val="00592ECD"/>
    <w:rsid w:val="005933A4"/>
    <w:rsid w:val="00593DB3"/>
    <w:rsid w:val="0059620C"/>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939"/>
    <w:rsid w:val="006A6D7C"/>
    <w:rsid w:val="006B1729"/>
    <w:rsid w:val="006B4756"/>
    <w:rsid w:val="006B5BF8"/>
    <w:rsid w:val="006B6715"/>
    <w:rsid w:val="006C6414"/>
    <w:rsid w:val="006D6B57"/>
    <w:rsid w:val="006D7451"/>
    <w:rsid w:val="006D78A5"/>
    <w:rsid w:val="006E1284"/>
    <w:rsid w:val="006E1EED"/>
    <w:rsid w:val="006E2BD1"/>
    <w:rsid w:val="006E2C24"/>
    <w:rsid w:val="006E3CA1"/>
    <w:rsid w:val="006F3D91"/>
    <w:rsid w:val="006F41DC"/>
    <w:rsid w:val="006F5FC3"/>
    <w:rsid w:val="006F671F"/>
    <w:rsid w:val="006F7418"/>
    <w:rsid w:val="00706B3F"/>
    <w:rsid w:val="0071542A"/>
    <w:rsid w:val="00716500"/>
    <w:rsid w:val="00716787"/>
    <w:rsid w:val="00716850"/>
    <w:rsid w:val="00717370"/>
    <w:rsid w:val="00720779"/>
    <w:rsid w:val="00720948"/>
    <w:rsid w:val="00730078"/>
    <w:rsid w:val="007312E1"/>
    <w:rsid w:val="007315BB"/>
    <w:rsid w:val="00731AF5"/>
    <w:rsid w:val="00736C4C"/>
    <w:rsid w:val="0074554E"/>
    <w:rsid w:val="007462BE"/>
    <w:rsid w:val="0074644B"/>
    <w:rsid w:val="007467D2"/>
    <w:rsid w:val="00746BDD"/>
    <w:rsid w:val="00761FF8"/>
    <w:rsid w:val="007636B3"/>
    <w:rsid w:val="00767071"/>
    <w:rsid w:val="0077090C"/>
    <w:rsid w:val="007716C9"/>
    <w:rsid w:val="007728B1"/>
    <w:rsid w:val="00784B6B"/>
    <w:rsid w:val="007904D3"/>
    <w:rsid w:val="00792541"/>
    <w:rsid w:val="00794D30"/>
    <w:rsid w:val="00794E85"/>
    <w:rsid w:val="007A1723"/>
    <w:rsid w:val="007A3B50"/>
    <w:rsid w:val="007A7ED3"/>
    <w:rsid w:val="007B22C7"/>
    <w:rsid w:val="007B29A2"/>
    <w:rsid w:val="007B3954"/>
    <w:rsid w:val="007B5B27"/>
    <w:rsid w:val="007B7359"/>
    <w:rsid w:val="007C3840"/>
    <w:rsid w:val="007C679A"/>
    <w:rsid w:val="007D1803"/>
    <w:rsid w:val="007D2A2A"/>
    <w:rsid w:val="007D3FB1"/>
    <w:rsid w:val="007D7BF1"/>
    <w:rsid w:val="007E18F1"/>
    <w:rsid w:val="007E2B85"/>
    <w:rsid w:val="007E3FA1"/>
    <w:rsid w:val="007E71A5"/>
    <w:rsid w:val="007F2F8D"/>
    <w:rsid w:val="007F5B3A"/>
    <w:rsid w:val="0080085A"/>
    <w:rsid w:val="0080182F"/>
    <w:rsid w:val="00801D6B"/>
    <w:rsid w:val="00801FE9"/>
    <w:rsid w:val="00802419"/>
    <w:rsid w:val="00802627"/>
    <w:rsid w:val="008032CC"/>
    <w:rsid w:val="00805617"/>
    <w:rsid w:val="0080703E"/>
    <w:rsid w:val="00811D7A"/>
    <w:rsid w:val="00812FAA"/>
    <w:rsid w:val="008154C3"/>
    <w:rsid w:val="008165F8"/>
    <w:rsid w:val="008208B3"/>
    <w:rsid w:val="00827C45"/>
    <w:rsid w:val="008308CE"/>
    <w:rsid w:val="00830F3B"/>
    <w:rsid w:val="008342D8"/>
    <w:rsid w:val="008348FB"/>
    <w:rsid w:val="00840638"/>
    <w:rsid w:val="00842BC1"/>
    <w:rsid w:val="0084624E"/>
    <w:rsid w:val="00846CF3"/>
    <w:rsid w:val="00846E13"/>
    <w:rsid w:val="00855A52"/>
    <w:rsid w:val="00862024"/>
    <w:rsid w:val="00864BE0"/>
    <w:rsid w:val="008663DE"/>
    <w:rsid w:val="0086718C"/>
    <w:rsid w:val="0087071E"/>
    <w:rsid w:val="00870932"/>
    <w:rsid w:val="00874510"/>
    <w:rsid w:val="00876542"/>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D5F64"/>
    <w:rsid w:val="008E00BA"/>
    <w:rsid w:val="008E206C"/>
    <w:rsid w:val="008F2524"/>
    <w:rsid w:val="008F4972"/>
    <w:rsid w:val="008F5114"/>
    <w:rsid w:val="008F6BC8"/>
    <w:rsid w:val="008F6E9C"/>
    <w:rsid w:val="0090677C"/>
    <w:rsid w:val="0090759B"/>
    <w:rsid w:val="009113AC"/>
    <w:rsid w:val="0091169E"/>
    <w:rsid w:val="00913516"/>
    <w:rsid w:val="00917641"/>
    <w:rsid w:val="00922424"/>
    <w:rsid w:val="0092247C"/>
    <w:rsid w:val="0092250B"/>
    <w:rsid w:val="00926CFC"/>
    <w:rsid w:val="00926FF6"/>
    <w:rsid w:val="0092736F"/>
    <w:rsid w:val="00927C93"/>
    <w:rsid w:val="009302CD"/>
    <w:rsid w:val="0093300E"/>
    <w:rsid w:val="00936765"/>
    <w:rsid w:val="00936DA3"/>
    <w:rsid w:val="00942A7B"/>
    <w:rsid w:val="00945D7B"/>
    <w:rsid w:val="009507EB"/>
    <w:rsid w:val="00950F93"/>
    <w:rsid w:val="00951580"/>
    <w:rsid w:val="0095403E"/>
    <w:rsid w:val="00954A97"/>
    <w:rsid w:val="00957A49"/>
    <w:rsid w:val="00960CB5"/>
    <w:rsid w:val="00961192"/>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C0052"/>
    <w:rsid w:val="009E08E9"/>
    <w:rsid w:val="009E4410"/>
    <w:rsid w:val="009F0135"/>
    <w:rsid w:val="009F0566"/>
    <w:rsid w:val="009F2814"/>
    <w:rsid w:val="009F5FCF"/>
    <w:rsid w:val="00A01148"/>
    <w:rsid w:val="00A01E08"/>
    <w:rsid w:val="00A03C6A"/>
    <w:rsid w:val="00A0540A"/>
    <w:rsid w:val="00A05A41"/>
    <w:rsid w:val="00A0697A"/>
    <w:rsid w:val="00A07C71"/>
    <w:rsid w:val="00A1004A"/>
    <w:rsid w:val="00A10C19"/>
    <w:rsid w:val="00A12CD7"/>
    <w:rsid w:val="00A15D7A"/>
    <w:rsid w:val="00A178E3"/>
    <w:rsid w:val="00A22663"/>
    <w:rsid w:val="00A2470C"/>
    <w:rsid w:val="00A259CA"/>
    <w:rsid w:val="00A47F92"/>
    <w:rsid w:val="00A53A63"/>
    <w:rsid w:val="00A570C4"/>
    <w:rsid w:val="00A600AF"/>
    <w:rsid w:val="00A619ED"/>
    <w:rsid w:val="00A73AF7"/>
    <w:rsid w:val="00A7529C"/>
    <w:rsid w:val="00A77531"/>
    <w:rsid w:val="00A815AA"/>
    <w:rsid w:val="00A90686"/>
    <w:rsid w:val="00A91868"/>
    <w:rsid w:val="00A9368B"/>
    <w:rsid w:val="00A939F5"/>
    <w:rsid w:val="00A94368"/>
    <w:rsid w:val="00A9733B"/>
    <w:rsid w:val="00AA0235"/>
    <w:rsid w:val="00AA0EE5"/>
    <w:rsid w:val="00AB26BC"/>
    <w:rsid w:val="00AC06A7"/>
    <w:rsid w:val="00AC3DDE"/>
    <w:rsid w:val="00AC56DA"/>
    <w:rsid w:val="00AC644E"/>
    <w:rsid w:val="00AC6559"/>
    <w:rsid w:val="00AD4496"/>
    <w:rsid w:val="00AD5B07"/>
    <w:rsid w:val="00AE10A5"/>
    <w:rsid w:val="00AE6031"/>
    <w:rsid w:val="00AE7F0B"/>
    <w:rsid w:val="00AF2D56"/>
    <w:rsid w:val="00B01743"/>
    <w:rsid w:val="00B06A37"/>
    <w:rsid w:val="00B126E8"/>
    <w:rsid w:val="00B127A4"/>
    <w:rsid w:val="00B13704"/>
    <w:rsid w:val="00B14DD6"/>
    <w:rsid w:val="00B203D1"/>
    <w:rsid w:val="00B216D8"/>
    <w:rsid w:val="00B21CE4"/>
    <w:rsid w:val="00B2347C"/>
    <w:rsid w:val="00B2424E"/>
    <w:rsid w:val="00B311F0"/>
    <w:rsid w:val="00B31C7E"/>
    <w:rsid w:val="00B32AE1"/>
    <w:rsid w:val="00B34373"/>
    <w:rsid w:val="00B358E5"/>
    <w:rsid w:val="00B37378"/>
    <w:rsid w:val="00B46466"/>
    <w:rsid w:val="00B47BD2"/>
    <w:rsid w:val="00B60556"/>
    <w:rsid w:val="00B6215F"/>
    <w:rsid w:val="00B66D1E"/>
    <w:rsid w:val="00B6741A"/>
    <w:rsid w:val="00B674E6"/>
    <w:rsid w:val="00B67E29"/>
    <w:rsid w:val="00B7013E"/>
    <w:rsid w:val="00B73EA6"/>
    <w:rsid w:val="00B73F60"/>
    <w:rsid w:val="00B76CB6"/>
    <w:rsid w:val="00B81403"/>
    <w:rsid w:val="00B823C7"/>
    <w:rsid w:val="00B83755"/>
    <w:rsid w:val="00B86A8E"/>
    <w:rsid w:val="00B870DC"/>
    <w:rsid w:val="00B90A5C"/>
    <w:rsid w:val="00B97326"/>
    <w:rsid w:val="00BA0D69"/>
    <w:rsid w:val="00BA38CA"/>
    <w:rsid w:val="00BA5C96"/>
    <w:rsid w:val="00BA6247"/>
    <w:rsid w:val="00BB3080"/>
    <w:rsid w:val="00BB36C8"/>
    <w:rsid w:val="00BB58EF"/>
    <w:rsid w:val="00BC6432"/>
    <w:rsid w:val="00BC6B5A"/>
    <w:rsid w:val="00BD2606"/>
    <w:rsid w:val="00BD4197"/>
    <w:rsid w:val="00BD6EEC"/>
    <w:rsid w:val="00BE0F9D"/>
    <w:rsid w:val="00BE32EB"/>
    <w:rsid w:val="00BF1B43"/>
    <w:rsid w:val="00BF315D"/>
    <w:rsid w:val="00BF57DA"/>
    <w:rsid w:val="00C020E3"/>
    <w:rsid w:val="00C03717"/>
    <w:rsid w:val="00C050CE"/>
    <w:rsid w:val="00C11359"/>
    <w:rsid w:val="00C127B3"/>
    <w:rsid w:val="00C14327"/>
    <w:rsid w:val="00C1541E"/>
    <w:rsid w:val="00C15993"/>
    <w:rsid w:val="00C15BDB"/>
    <w:rsid w:val="00C21854"/>
    <w:rsid w:val="00C23883"/>
    <w:rsid w:val="00C31172"/>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6478F"/>
    <w:rsid w:val="00C80EE4"/>
    <w:rsid w:val="00C85F37"/>
    <w:rsid w:val="00C8707D"/>
    <w:rsid w:val="00C91E57"/>
    <w:rsid w:val="00C921B6"/>
    <w:rsid w:val="00CA2C08"/>
    <w:rsid w:val="00CA618F"/>
    <w:rsid w:val="00CB4A24"/>
    <w:rsid w:val="00CB6379"/>
    <w:rsid w:val="00CB7C8F"/>
    <w:rsid w:val="00CC1573"/>
    <w:rsid w:val="00CC192B"/>
    <w:rsid w:val="00CC1F1F"/>
    <w:rsid w:val="00CC3D3A"/>
    <w:rsid w:val="00CC5FC7"/>
    <w:rsid w:val="00CC7947"/>
    <w:rsid w:val="00CD0506"/>
    <w:rsid w:val="00CD1BE4"/>
    <w:rsid w:val="00CD6A46"/>
    <w:rsid w:val="00CD6C40"/>
    <w:rsid w:val="00CE0759"/>
    <w:rsid w:val="00CE0883"/>
    <w:rsid w:val="00CE3904"/>
    <w:rsid w:val="00CE5D32"/>
    <w:rsid w:val="00CE6B40"/>
    <w:rsid w:val="00CF2A59"/>
    <w:rsid w:val="00CF5F73"/>
    <w:rsid w:val="00CF7024"/>
    <w:rsid w:val="00D01AAD"/>
    <w:rsid w:val="00D04525"/>
    <w:rsid w:val="00D079F8"/>
    <w:rsid w:val="00D16C44"/>
    <w:rsid w:val="00D17B1C"/>
    <w:rsid w:val="00D2169B"/>
    <w:rsid w:val="00D236FF"/>
    <w:rsid w:val="00D46CAF"/>
    <w:rsid w:val="00D4721C"/>
    <w:rsid w:val="00D47EE0"/>
    <w:rsid w:val="00D50D71"/>
    <w:rsid w:val="00D54F3E"/>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3FA1"/>
    <w:rsid w:val="00DA7329"/>
    <w:rsid w:val="00DB463C"/>
    <w:rsid w:val="00DB49E1"/>
    <w:rsid w:val="00DB6591"/>
    <w:rsid w:val="00DB6ABE"/>
    <w:rsid w:val="00DC0400"/>
    <w:rsid w:val="00DC39F9"/>
    <w:rsid w:val="00DC4648"/>
    <w:rsid w:val="00DC5D8F"/>
    <w:rsid w:val="00DC5DF7"/>
    <w:rsid w:val="00DC5FD7"/>
    <w:rsid w:val="00DC7D53"/>
    <w:rsid w:val="00DD2488"/>
    <w:rsid w:val="00DE766A"/>
    <w:rsid w:val="00DF3FBD"/>
    <w:rsid w:val="00E03766"/>
    <w:rsid w:val="00E057D8"/>
    <w:rsid w:val="00E1001A"/>
    <w:rsid w:val="00E10356"/>
    <w:rsid w:val="00E10F86"/>
    <w:rsid w:val="00E13CE1"/>
    <w:rsid w:val="00E21016"/>
    <w:rsid w:val="00E34BB3"/>
    <w:rsid w:val="00E37E47"/>
    <w:rsid w:val="00E41032"/>
    <w:rsid w:val="00E4216B"/>
    <w:rsid w:val="00E43E86"/>
    <w:rsid w:val="00E47790"/>
    <w:rsid w:val="00E5157B"/>
    <w:rsid w:val="00E5447F"/>
    <w:rsid w:val="00E54612"/>
    <w:rsid w:val="00E61101"/>
    <w:rsid w:val="00E65A86"/>
    <w:rsid w:val="00E67C4D"/>
    <w:rsid w:val="00E7532A"/>
    <w:rsid w:val="00E82744"/>
    <w:rsid w:val="00E82FCD"/>
    <w:rsid w:val="00E861A3"/>
    <w:rsid w:val="00E86B03"/>
    <w:rsid w:val="00E8747D"/>
    <w:rsid w:val="00E87F22"/>
    <w:rsid w:val="00E90E42"/>
    <w:rsid w:val="00E910F0"/>
    <w:rsid w:val="00E91A85"/>
    <w:rsid w:val="00E9201C"/>
    <w:rsid w:val="00EA09D8"/>
    <w:rsid w:val="00EA235F"/>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05986"/>
    <w:rsid w:val="00F117FB"/>
    <w:rsid w:val="00F1382C"/>
    <w:rsid w:val="00F13A58"/>
    <w:rsid w:val="00F15F6A"/>
    <w:rsid w:val="00F167CC"/>
    <w:rsid w:val="00F2346B"/>
    <w:rsid w:val="00F237EB"/>
    <w:rsid w:val="00F32F6E"/>
    <w:rsid w:val="00F347E2"/>
    <w:rsid w:val="00F40AB6"/>
    <w:rsid w:val="00F5122E"/>
    <w:rsid w:val="00F52460"/>
    <w:rsid w:val="00F5717C"/>
    <w:rsid w:val="00F57A79"/>
    <w:rsid w:val="00F61D38"/>
    <w:rsid w:val="00F63462"/>
    <w:rsid w:val="00F67391"/>
    <w:rsid w:val="00F70C28"/>
    <w:rsid w:val="00F733FA"/>
    <w:rsid w:val="00F7464B"/>
    <w:rsid w:val="00F819E0"/>
    <w:rsid w:val="00F81BFA"/>
    <w:rsid w:val="00F841E8"/>
    <w:rsid w:val="00F86C66"/>
    <w:rsid w:val="00F9387B"/>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Char2">
    <w:name w:val="Char2"/>
    <w:basedOn w:val="Normal"/>
    <w:next w:val="Normal"/>
    <w:link w:val="FootnoteReference"/>
    <w:rsid w:val="00B7013E"/>
    <w:pPr>
      <w:spacing w:line="240" w:lineRule="exact"/>
      <w:ind w:firstLine="567"/>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ntra.vimane@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754D596E82A7084982B0605DFDB1BC67" ma:contentTypeVersion="0" ma:contentTypeDescription="Izveidot jaunu dokumentu." ma:contentTypeScope="" ma:versionID="1246002bbeceaf8afb34a78ee007868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415E094C-6698-4477-B11F-7C52C72B8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Pages>
  <Words>11813</Words>
  <Characters>6734</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Antra Vīmane</cp:lastModifiedBy>
  <cp:revision>129</cp:revision>
  <dcterms:created xsi:type="dcterms:W3CDTF">2023-01-31T06:49:00Z</dcterms:created>
  <dcterms:modified xsi:type="dcterms:W3CDTF">2026-06-11T05:11:00Z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0x010100754D596E82A7084982B0605DFDB1BC67</vt:lpwstr>
  </property>
</Properties>
</file>