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D9F75" w14:textId="437C577B" w:rsidR="003F5152" w:rsidRPr="0073373A" w:rsidRDefault="003F5152" w:rsidP="00DA2277">
      <w:pPr>
        <w:spacing w:line="240" w:lineRule="auto"/>
        <w:ind w:left="142"/>
        <w:jc w:val="center"/>
        <w:rPr>
          <w:rFonts w:ascii="Times New Roman" w:hAnsi="Times New Roman" w:cs="Times New Roman"/>
          <w:b/>
          <w:bCs/>
          <w:sz w:val="36"/>
          <w:szCs w:val="36"/>
        </w:rPr>
      </w:pPr>
      <w:r w:rsidRPr="0073373A">
        <w:rPr>
          <w:rFonts w:ascii="Times New Roman" w:hAnsi="Times New Roman" w:cs="Times New Roman"/>
          <w:b/>
          <w:bCs/>
          <w:sz w:val="36"/>
          <w:szCs w:val="36"/>
        </w:rPr>
        <w:t>Izložu un azartspēļu organizēšanas sektora NILLTPF risku novērtējum</w:t>
      </w:r>
      <w:r w:rsidR="00DA2277" w:rsidRPr="0073373A">
        <w:rPr>
          <w:rFonts w:ascii="Times New Roman" w:hAnsi="Times New Roman" w:cs="Times New Roman"/>
          <w:b/>
          <w:bCs/>
          <w:sz w:val="36"/>
          <w:szCs w:val="36"/>
        </w:rPr>
        <w:t>s</w:t>
      </w:r>
    </w:p>
    <w:p w14:paraId="163AFF22" w14:textId="77777777" w:rsidR="003F5152" w:rsidRPr="0073373A" w:rsidRDefault="003F5152" w:rsidP="00C37E1F">
      <w:pPr>
        <w:pStyle w:val="Heading1"/>
        <w:spacing w:line="240" w:lineRule="auto"/>
        <w:rPr>
          <w:color w:val="auto"/>
          <w:sz w:val="32"/>
          <w:szCs w:val="32"/>
        </w:rPr>
      </w:pPr>
      <w:r w:rsidRPr="0073373A">
        <w:rPr>
          <w:color w:val="auto"/>
          <w:sz w:val="32"/>
          <w:szCs w:val="32"/>
        </w:rPr>
        <w:t>Sektora vispārīgais raksturojums</w:t>
      </w:r>
    </w:p>
    <w:p w14:paraId="4F1C771B" w14:textId="77777777" w:rsidR="00BE6027" w:rsidRPr="0073373A" w:rsidRDefault="00D41126" w:rsidP="00C37E1F">
      <w:pPr>
        <w:pStyle w:val="ListParagraph"/>
        <w:numPr>
          <w:ilvl w:val="0"/>
          <w:numId w:val="1"/>
        </w:numPr>
        <w:spacing w:line="240" w:lineRule="auto"/>
        <w:ind w:left="142" w:hanging="425"/>
        <w:contextualSpacing w:val="0"/>
        <w:jc w:val="both"/>
        <w:rPr>
          <w:rFonts w:ascii="Times New Roman" w:hAnsi="Times New Roman" w:cs="Times New Roman"/>
          <w:sz w:val="24"/>
          <w:szCs w:val="24"/>
        </w:rPr>
      </w:pPr>
      <w:r w:rsidRPr="0073373A">
        <w:rPr>
          <w:rFonts w:ascii="Times New Roman" w:hAnsi="Times New Roman" w:cs="Times New Roman"/>
          <w:sz w:val="24"/>
          <w:szCs w:val="24"/>
        </w:rPr>
        <w:t>Sektora lielums un izmaiņas pārskata periodā</w:t>
      </w:r>
      <w:r w:rsidR="00BE6027" w:rsidRPr="0073373A">
        <w:rPr>
          <w:rFonts w:ascii="Times New Roman" w:hAnsi="Times New Roman" w:cs="Times New Roman"/>
          <w:sz w:val="24"/>
          <w:szCs w:val="24"/>
        </w:rPr>
        <w:t>.</w:t>
      </w:r>
    </w:p>
    <w:p w14:paraId="5B140224" w14:textId="7A0BB289" w:rsidR="00BE6027" w:rsidRPr="0073373A" w:rsidRDefault="003F5152" w:rsidP="00C37E1F">
      <w:pPr>
        <w:pStyle w:val="ListParagraph"/>
        <w:spacing w:line="240" w:lineRule="auto"/>
        <w:ind w:left="142"/>
        <w:contextualSpacing w:val="0"/>
        <w:jc w:val="both"/>
        <w:rPr>
          <w:rFonts w:ascii="Times New Roman" w:hAnsi="Times New Roman" w:cs="Times New Roman"/>
          <w:sz w:val="24"/>
          <w:szCs w:val="24"/>
          <w:lang w:eastAsia="lv-LV"/>
        </w:rPr>
      </w:pPr>
      <w:r w:rsidRPr="0073373A">
        <w:rPr>
          <w:rFonts w:ascii="Times New Roman" w:hAnsi="Times New Roman" w:cs="Times New Roman"/>
          <w:sz w:val="24"/>
          <w:szCs w:val="24"/>
        </w:rPr>
        <w:t xml:space="preserve">Azartspēļu un izložu likums paredz atšķirīgu pieeju izložu un azartspēļu organizēšanai. Valsts mēroga izložu organizēšanas monopols pieder valstij – valsts mēroga izlozes organizē VAS „Latvijas Loto”, kuras 100% kapitāla daļu turētāja ir Finanšu ministrija. Savukārt vietējā mēroga vai vietējā mēroga vienreizējās izlozes var organizēt juridiskās personas, tostarp atsevišķos gadījumos arī biedrības vai reliģiskās organizācijas. LR azartspēles un izlozes drīkst organizēt tikai pēc attiecīgo azartspēļu vai izložu licenču saņemšanas. </w:t>
      </w:r>
    </w:p>
    <w:p w14:paraId="063BE186" w14:textId="77777777" w:rsidR="00CF37CA" w:rsidRPr="0073373A" w:rsidRDefault="003F5152" w:rsidP="00C37E1F">
      <w:pPr>
        <w:pStyle w:val="ListParagraph"/>
        <w:spacing w:line="240" w:lineRule="auto"/>
        <w:ind w:left="142"/>
        <w:contextualSpacing w:val="0"/>
        <w:jc w:val="both"/>
        <w:rPr>
          <w:rFonts w:ascii="Times New Roman" w:hAnsi="Times New Roman" w:cs="Times New Roman"/>
          <w:sz w:val="24"/>
          <w:szCs w:val="24"/>
        </w:rPr>
      </w:pPr>
      <w:r w:rsidRPr="0073373A">
        <w:rPr>
          <w:rFonts w:ascii="Times New Roman" w:hAnsi="Times New Roman" w:cs="Times New Roman"/>
          <w:sz w:val="24"/>
          <w:szCs w:val="24"/>
        </w:rPr>
        <w:t>Uz 202</w:t>
      </w:r>
      <w:r w:rsidR="00E427FE" w:rsidRPr="0073373A">
        <w:rPr>
          <w:rFonts w:ascii="Times New Roman" w:hAnsi="Times New Roman" w:cs="Times New Roman"/>
          <w:sz w:val="24"/>
          <w:szCs w:val="24"/>
        </w:rPr>
        <w:t>5</w:t>
      </w:r>
      <w:r w:rsidRPr="0073373A">
        <w:rPr>
          <w:rFonts w:ascii="Times New Roman" w:hAnsi="Times New Roman" w:cs="Times New Roman"/>
          <w:sz w:val="24"/>
          <w:szCs w:val="24"/>
        </w:rPr>
        <w:t xml:space="preserve">. gada 31. decembri azartspēļu organizēšanas </w:t>
      </w:r>
      <w:r w:rsidR="00BE6027" w:rsidRPr="0073373A">
        <w:rPr>
          <w:rFonts w:ascii="Times New Roman" w:hAnsi="Times New Roman" w:cs="Times New Roman"/>
          <w:sz w:val="24"/>
          <w:szCs w:val="24"/>
        </w:rPr>
        <w:t>sektorā</w:t>
      </w:r>
      <w:r w:rsidRPr="0073373A">
        <w:rPr>
          <w:rFonts w:ascii="Times New Roman" w:hAnsi="Times New Roman" w:cs="Times New Roman"/>
          <w:sz w:val="24"/>
          <w:szCs w:val="24"/>
        </w:rPr>
        <w:t xml:space="preserve"> darbojās </w:t>
      </w:r>
      <w:r w:rsidR="00F5193E" w:rsidRPr="0073373A">
        <w:rPr>
          <w:rFonts w:ascii="Times New Roman" w:hAnsi="Times New Roman" w:cs="Times New Roman"/>
          <w:sz w:val="24"/>
          <w:szCs w:val="24"/>
        </w:rPr>
        <w:t>20</w:t>
      </w:r>
      <w:r w:rsidRPr="0073373A">
        <w:rPr>
          <w:rFonts w:ascii="Times New Roman" w:hAnsi="Times New Roman" w:cs="Times New Roman"/>
          <w:sz w:val="24"/>
          <w:szCs w:val="24"/>
        </w:rPr>
        <w:t xml:space="preserve"> licencēti azartspēļu organizētāji. To pārvaldībā ir </w:t>
      </w:r>
      <w:r w:rsidR="00843419" w:rsidRPr="0073373A">
        <w:rPr>
          <w:rFonts w:ascii="Times New Roman" w:hAnsi="Times New Roman" w:cs="Times New Roman"/>
          <w:sz w:val="24"/>
          <w:szCs w:val="24"/>
        </w:rPr>
        <w:t>173</w:t>
      </w:r>
      <w:r w:rsidRPr="0073373A">
        <w:rPr>
          <w:rFonts w:ascii="Times New Roman" w:hAnsi="Times New Roman" w:cs="Times New Roman"/>
          <w:sz w:val="24"/>
          <w:szCs w:val="24"/>
        </w:rPr>
        <w:t xml:space="preserve"> spēļu zāles, </w:t>
      </w:r>
      <w:r w:rsidR="00244EB7" w:rsidRPr="0073373A">
        <w:rPr>
          <w:rFonts w:ascii="Times New Roman" w:hAnsi="Times New Roman" w:cs="Times New Roman"/>
          <w:sz w:val="24"/>
          <w:szCs w:val="24"/>
        </w:rPr>
        <w:t>78</w:t>
      </w:r>
      <w:r w:rsidRPr="0073373A">
        <w:rPr>
          <w:rFonts w:ascii="Times New Roman" w:hAnsi="Times New Roman" w:cs="Times New Roman"/>
          <w:sz w:val="24"/>
          <w:szCs w:val="24"/>
        </w:rPr>
        <w:t xml:space="preserve"> totalizatoru likmju pieņemšanas punkti, 2 kazino, 1 bingo zāle, kā arī 18 organizētājiem piešķirtas interaktīvo azartspēļu organizēšanas licences.</w:t>
      </w:r>
    </w:p>
    <w:p w14:paraId="62DD95C9" w14:textId="77777777" w:rsidR="004B478F" w:rsidRPr="0073373A" w:rsidRDefault="003F5152" w:rsidP="00C37E1F">
      <w:pPr>
        <w:pStyle w:val="ListParagraph"/>
        <w:spacing w:line="240" w:lineRule="auto"/>
        <w:ind w:left="142"/>
        <w:contextualSpacing w:val="0"/>
        <w:jc w:val="both"/>
        <w:rPr>
          <w:rStyle w:val="cf01"/>
          <w:rFonts w:ascii="Times New Roman" w:hAnsi="Times New Roman" w:cs="Times New Roman"/>
          <w:sz w:val="24"/>
          <w:szCs w:val="24"/>
        </w:rPr>
      </w:pPr>
      <w:r w:rsidRPr="0073373A">
        <w:rPr>
          <w:rFonts w:ascii="Times New Roman" w:hAnsi="Times New Roman" w:cs="Times New Roman"/>
          <w:sz w:val="24"/>
          <w:szCs w:val="24"/>
        </w:rPr>
        <w:t>202</w:t>
      </w:r>
      <w:r w:rsidR="00637A02" w:rsidRPr="0073373A">
        <w:rPr>
          <w:rFonts w:ascii="Times New Roman" w:hAnsi="Times New Roman" w:cs="Times New Roman"/>
          <w:sz w:val="24"/>
          <w:szCs w:val="24"/>
        </w:rPr>
        <w:t>3</w:t>
      </w:r>
      <w:r w:rsidRPr="0073373A">
        <w:rPr>
          <w:rFonts w:ascii="Times New Roman" w:hAnsi="Times New Roman" w:cs="Times New Roman"/>
          <w:sz w:val="24"/>
          <w:szCs w:val="24"/>
        </w:rPr>
        <w:t>.</w:t>
      </w:r>
      <w:r w:rsidR="00883978" w:rsidRPr="0073373A">
        <w:rPr>
          <w:rFonts w:ascii="Times New Roman" w:hAnsi="Times New Roman" w:cs="Times New Roman"/>
          <w:sz w:val="24"/>
          <w:szCs w:val="24"/>
        </w:rPr>
        <w:t> </w:t>
      </w:r>
      <w:r w:rsidRPr="0073373A">
        <w:rPr>
          <w:rFonts w:ascii="Times New Roman" w:hAnsi="Times New Roman" w:cs="Times New Roman"/>
          <w:sz w:val="24"/>
          <w:szCs w:val="24"/>
        </w:rPr>
        <w:t xml:space="preserve">gadā ieņēmumi no azartspēlēm sastādīja </w:t>
      </w:r>
      <w:r w:rsidR="00395BBA" w:rsidRPr="0073373A">
        <w:rPr>
          <w:rFonts w:ascii="Times New Roman" w:hAnsi="Times New Roman" w:cs="Times New Roman"/>
          <w:sz w:val="24"/>
          <w:szCs w:val="24"/>
        </w:rPr>
        <w:t>288,633</w:t>
      </w:r>
      <w:r w:rsidRPr="0073373A">
        <w:rPr>
          <w:rFonts w:ascii="Times New Roman" w:hAnsi="Times New Roman" w:cs="Times New Roman"/>
          <w:sz w:val="24"/>
          <w:szCs w:val="24"/>
        </w:rPr>
        <w:t xml:space="preserve"> milj. EUR, 202</w:t>
      </w:r>
      <w:r w:rsidR="00B65A81" w:rsidRPr="0073373A">
        <w:rPr>
          <w:rFonts w:ascii="Times New Roman" w:hAnsi="Times New Roman" w:cs="Times New Roman"/>
          <w:sz w:val="24"/>
          <w:szCs w:val="24"/>
        </w:rPr>
        <w:t>4</w:t>
      </w:r>
      <w:r w:rsidRPr="0073373A">
        <w:rPr>
          <w:rFonts w:ascii="Times New Roman" w:hAnsi="Times New Roman" w:cs="Times New Roman"/>
          <w:sz w:val="24"/>
          <w:szCs w:val="24"/>
        </w:rPr>
        <w:t xml:space="preserve">. gadā </w:t>
      </w:r>
      <w:r w:rsidR="00395BBA" w:rsidRPr="0073373A">
        <w:rPr>
          <w:rFonts w:ascii="Times New Roman" w:hAnsi="Times New Roman" w:cs="Times New Roman"/>
          <w:sz w:val="24"/>
          <w:szCs w:val="24"/>
        </w:rPr>
        <w:t>–</w:t>
      </w:r>
      <w:r w:rsidRPr="0073373A">
        <w:rPr>
          <w:rFonts w:ascii="Times New Roman" w:hAnsi="Times New Roman" w:cs="Times New Roman"/>
          <w:sz w:val="24"/>
          <w:szCs w:val="24"/>
        </w:rPr>
        <w:t xml:space="preserve"> </w:t>
      </w:r>
      <w:r w:rsidR="00395BBA" w:rsidRPr="0073373A">
        <w:rPr>
          <w:rFonts w:ascii="Times New Roman" w:hAnsi="Times New Roman" w:cs="Times New Roman"/>
          <w:sz w:val="24"/>
          <w:szCs w:val="24"/>
        </w:rPr>
        <w:t>299,444</w:t>
      </w:r>
      <w:r w:rsidRPr="0073373A">
        <w:rPr>
          <w:rFonts w:ascii="Times New Roman" w:hAnsi="Times New Roman" w:cs="Times New Roman"/>
          <w:sz w:val="24"/>
          <w:szCs w:val="24"/>
        </w:rPr>
        <w:t xml:space="preserve"> milj. EUR</w:t>
      </w:r>
      <w:r w:rsidR="00B65A81" w:rsidRPr="0073373A">
        <w:rPr>
          <w:rFonts w:ascii="Times New Roman" w:hAnsi="Times New Roman" w:cs="Times New Roman"/>
          <w:sz w:val="24"/>
          <w:szCs w:val="24"/>
        </w:rPr>
        <w:t xml:space="preserve"> un </w:t>
      </w:r>
      <w:r w:rsidRPr="0073373A">
        <w:rPr>
          <w:rFonts w:ascii="Times New Roman" w:hAnsi="Times New Roman" w:cs="Times New Roman"/>
          <w:sz w:val="24"/>
          <w:szCs w:val="24"/>
        </w:rPr>
        <w:t>202</w:t>
      </w:r>
      <w:r w:rsidR="00B65A81" w:rsidRPr="0073373A">
        <w:rPr>
          <w:rFonts w:ascii="Times New Roman" w:hAnsi="Times New Roman" w:cs="Times New Roman"/>
          <w:sz w:val="24"/>
          <w:szCs w:val="24"/>
        </w:rPr>
        <w:t>5</w:t>
      </w:r>
      <w:r w:rsidRPr="0073373A">
        <w:rPr>
          <w:rFonts w:ascii="Times New Roman" w:hAnsi="Times New Roman" w:cs="Times New Roman"/>
          <w:sz w:val="24"/>
          <w:szCs w:val="24"/>
        </w:rPr>
        <w:t>. gadā sasniedz</w:t>
      </w:r>
      <w:r w:rsidR="00B65A81" w:rsidRPr="0073373A">
        <w:rPr>
          <w:rFonts w:ascii="Times New Roman" w:hAnsi="Times New Roman" w:cs="Times New Roman"/>
          <w:sz w:val="24"/>
          <w:szCs w:val="24"/>
        </w:rPr>
        <w:t>a</w:t>
      </w:r>
      <w:r w:rsidRPr="0073373A">
        <w:rPr>
          <w:rFonts w:ascii="Times New Roman" w:hAnsi="Times New Roman" w:cs="Times New Roman"/>
          <w:sz w:val="24"/>
          <w:szCs w:val="24"/>
        </w:rPr>
        <w:t xml:space="preserve"> – </w:t>
      </w:r>
      <w:r w:rsidR="00395BBA" w:rsidRPr="0073373A">
        <w:rPr>
          <w:rFonts w:ascii="Times New Roman" w:hAnsi="Times New Roman" w:cs="Times New Roman"/>
          <w:sz w:val="24"/>
          <w:szCs w:val="24"/>
        </w:rPr>
        <w:t>299,579</w:t>
      </w:r>
      <w:r w:rsidRPr="0073373A">
        <w:rPr>
          <w:rFonts w:ascii="Times New Roman" w:hAnsi="Times New Roman" w:cs="Times New Roman"/>
          <w:sz w:val="24"/>
          <w:szCs w:val="24"/>
        </w:rPr>
        <w:t xml:space="preserve"> milj. EUR. </w:t>
      </w:r>
      <w:r w:rsidR="004D5EF2" w:rsidRPr="0073373A">
        <w:rPr>
          <w:rFonts w:ascii="Times New Roman" w:hAnsi="Times New Roman" w:cs="Times New Roman"/>
          <w:sz w:val="24"/>
          <w:szCs w:val="24"/>
        </w:rPr>
        <w:t>I</w:t>
      </w:r>
      <w:r w:rsidRPr="0073373A">
        <w:rPr>
          <w:rStyle w:val="cf01"/>
          <w:rFonts w:ascii="Times New Roman" w:hAnsi="Times New Roman" w:cs="Times New Roman"/>
          <w:sz w:val="24"/>
          <w:szCs w:val="24"/>
        </w:rPr>
        <w:t>nteraktīvo azartspēļu īpatsvars sektorā</w:t>
      </w:r>
      <w:r w:rsidR="004D5EF2" w:rsidRPr="0073373A">
        <w:rPr>
          <w:rStyle w:val="cf01"/>
          <w:rFonts w:ascii="Times New Roman" w:hAnsi="Times New Roman" w:cs="Times New Roman"/>
          <w:sz w:val="24"/>
          <w:szCs w:val="24"/>
        </w:rPr>
        <w:t xml:space="preserve"> turpina </w:t>
      </w:r>
      <w:r w:rsidR="00732341" w:rsidRPr="0073373A">
        <w:rPr>
          <w:rStyle w:val="cf01"/>
          <w:rFonts w:ascii="Times New Roman" w:hAnsi="Times New Roman" w:cs="Times New Roman"/>
          <w:sz w:val="24"/>
          <w:szCs w:val="24"/>
        </w:rPr>
        <w:t>ieņemt ievērojamu sektora daļu</w:t>
      </w:r>
      <w:r w:rsidR="004B478F" w:rsidRPr="0073373A">
        <w:rPr>
          <w:rStyle w:val="cf01"/>
          <w:rFonts w:ascii="Times New Roman" w:hAnsi="Times New Roman" w:cs="Times New Roman"/>
          <w:sz w:val="24"/>
          <w:szCs w:val="24"/>
        </w:rPr>
        <w:t>.</w:t>
      </w:r>
    </w:p>
    <w:tbl>
      <w:tblPr>
        <w:tblStyle w:val="TableGrid"/>
        <w:tblW w:w="0" w:type="auto"/>
        <w:jc w:val="center"/>
        <w:tblLayout w:type="fixed"/>
        <w:tblLook w:val="04A0" w:firstRow="1" w:lastRow="0" w:firstColumn="1" w:lastColumn="0" w:noHBand="0" w:noVBand="1"/>
      </w:tblPr>
      <w:tblGrid>
        <w:gridCol w:w="1322"/>
        <w:gridCol w:w="1650"/>
        <w:gridCol w:w="1559"/>
      </w:tblGrid>
      <w:tr w:rsidR="004B478F" w:rsidRPr="0073373A" w14:paraId="0416CA4B" w14:textId="77777777" w:rsidTr="004B478F">
        <w:trPr>
          <w:jc w:val="center"/>
        </w:trPr>
        <w:tc>
          <w:tcPr>
            <w:tcW w:w="1322" w:type="dxa"/>
            <w:shd w:val="clear" w:color="auto" w:fill="4C94D8" w:themeFill="text2" w:themeFillTint="80"/>
            <w:hideMark/>
          </w:tcPr>
          <w:p w14:paraId="59293E6C" w14:textId="77777777" w:rsidR="004B478F" w:rsidRPr="0073373A" w:rsidRDefault="004B478F" w:rsidP="004B478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Gads</w:t>
            </w:r>
          </w:p>
        </w:tc>
        <w:tc>
          <w:tcPr>
            <w:tcW w:w="1650" w:type="dxa"/>
            <w:shd w:val="clear" w:color="auto" w:fill="4C94D8" w:themeFill="text2" w:themeFillTint="80"/>
            <w:hideMark/>
          </w:tcPr>
          <w:p w14:paraId="1E4CA8C7" w14:textId="7E918B15" w:rsidR="004B478F" w:rsidRPr="0073373A" w:rsidRDefault="004B478F" w:rsidP="004B478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Klātienes azartspēles</w:t>
            </w:r>
          </w:p>
        </w:tc>
        <w:tc>
          <w:tcPr>
            <w:tcW w:w="1559" w:type="dxa"/>
            <w:shd w:val="clear" w:color="auto" w:fill="4C94D8" w:themeFill="text2" w:themeFillTint="80"/>
            <w:hideMark/>
          </w:tcPr>
          <w:p w14:paraId="7DF39136" w14:textId="496456E2" w:rsidR="004B478F" w:rsidRPr="0073373A" w:rsidRDefault="004B478F" w:rsidP="004B478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Interaktīvās azartspēles</w:t>
            </w:r>
          </w:p>
        </w:tc>
      </w:tr>
      <w:tr w:rsidR="004B478F" w:rsidRPr="0073373A" w14:paraId="373EA5D2" w14:textId="77777777" w:rsidTr="004B478F">
        <w:trPr>
          <w:jc w:val="center"/>
        </w:trPr>
        <w:tc>
          <w:tcPr>
            <w:tcW w:w="1322" w:type="dxa"/>
            <w:hideMark/>
          </w:tcPr>
          <w:p w14:paraId="795B5484" w14:textId="77777777" w:rsidR="004B478F" w:rsidRPr="0073373A" w:rsidRDefault="004B478F" w:rsidP="004B478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2023</w:t>
            </w:r>
          </w:p>
        </w:tc>
        <w:tc>
          <w:tcPr>
            <w:tcW w:w="1650" w:type="dxa"/>
            <w:hideMark/>
          </w:tcPr>
          <w:p w14:paraId="3FC651C7" w14:textId="77777777" w:rsidR="004B478F" w:rsidRPr="0073373A" w:rsidRDefault="004B478F" w:rsidP="004B478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53%</w:t>
            </w:r>
          </w:p>
        </w:tc>
        <w:tc>
          <w:tcPr>
            <w:tcW w:w="1559" w:type="dxa"/>
            <w:hideMark/>
          </w:tcPr>
          <w:p w14:paraId="363C02A8" w14:textId="77777777" w:rsidR="004B478F" w:rsidRPr="0073373A" w:rsidRDefault="004B478F" w:rsidP="004B478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47%</w:t>
            </w:r>
          </w:p>
        </w:tc>
      </w:tr>
      <w:tr w:rsidR="004B478F" w:rsidRPr="0073373A" w14:paraId="14B9C98D" w14:textId="77777777" w:rsidTr="004B478F">
        <w:trPr>
          <w:jc w:val="center"/>
        </w:trPr>
        <w:tc>
          <w:tcPr>
            <w:tcW w:w="1322" w:type="dxa"/>
            <w:hideMark/>
          </w:tcPr>
          <w:p w14:paraId="796C4B5E" w14:textId="77777777" w:rsidR="004B478F" w:rsidRPr="0073373A" w:rsidRDefault="004B478F" w:rsidP="004B478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2024</w:t>
            </w:r>
          </w:p>
        </w:tc>
        <w:tc>
          <w:tcPr>
            <w:tcW w:w="1650" w:type="dxa"/>
            <w:hideMark/>
          </w:tcPr>
          <w:p w14:paraId="4A944C6F" w14:textId="77777777" w:rsidR="004B478F" w:rsidRPr="0073373A" w:rsidRDefault="004B478F" w:rsidP="004B478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49%</w:t>
            </w:r>
          </w:p>
        </w:tc>
        <w:tc>
          <w:tcPr>
            <w:tcW w:w="1559" w:type="dxa"/>
            <w:hideMark/>
          </w:tcPr>
          <w:p w14:paraId="36451EC2" w14:textId="77777777" w:rsidR="004B478F" w:rsidRPr="0073373A" w:rsidRDefault="004B478F" w:rsidP="004B478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51%</w:t>
            </w:r>
          </w:p>
        </w:tc>
      </w:tr>
      <w:tr w:rsidR="004B478F" w:rsidRPr="0073373A" w14:paraId="52C52BA7" w14:textId="77777777" w:rsidTr="004B478F">
        <w:trPr>
          <w:jc w:val="center"/>
        </w:trPr>
        <w:tc>
          <w:tcPr>
            <w:tcW w:w="1322" w:type="dxa"/>
            <w:hideMark/>
          </w:tcPr>
          <w:p w14:paraId="3675EE3B" w14:textId="77777777" w:rsidR="004B478F" w:rsidRPr="0073373A" w:rsidRDefault="004B478F" w:rsidP="004B478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2025</w:t>
            </w:r>
          </w:p>
        </w:tc>
        <w:tc>
          <w:tcPr>
            <w:tcW w:w="1650" w:type="dxa"/>
            <w:hideMark/>
          </w:tcPr>
          <w:p w14:paraId="65411643" w14:textId="77777777" w:rsidR="004B478F" w:rsidRPr="0073373A" w:rsidRDefault="004B478F" w:rsidP="004B478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43%</w:t>
            </w:r>
          </w:p>
        </w:tc>
        <w:tc>
          <w:tcPr>
            <w:tcW w:w="1559" w:type="dxa"/>
            <w:hideMark/>
          </w:tcPr>
          <w:p w14:paraId="0CFFF776" w14:textId="77777777" w:rsidR="004B478F" w:rsidRPr="0073373A" w:rsidRDefault="004B478F" w:rsidP="004B478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57%</w:t>
            </w:r>
          </w:p>
        </w:tc>
      </w:tr>
    </w:tbl>
    <w:p w14:paraId="55B28D97" w14:textId="77777777" w:rsidR="004B478F" w:rsidRPr="0073373A" w:rsidRDefault="004B478F" w:rsidP="00C37E1F">
      <w:pPr>
        <w:pStyle w:val="ListParagraph"/>
        <w:spacing w:line="240" w:lineRule="auto"/>
        <w:ind w:left="142"/>
        <w:contextualSpacing w:val="0"/>
        <w:jc w:val="both"/>
        <w:rPr>
          <w:rStyle w:val="cf01"/>
          <w:rFonts w:ascii="Times New Roman" w:hAnsi="Times New Roman" w:cs="Times New Roman"/>
          <w:sz w:val="24"/>
          <w:szCs w:val="24"/>
        </w:rPr>
      </w:pPr>
    </w:p>
    <w:p w14:paraId="705A7498" w14:textId="5EBB1956" w:rsidR="003F5152" w:rsidRPr="0073373A" w:rsidRDefault="003F5152" w:rsidP="00C37E1F">
      <w:pPr>
        <w:pStyle w:val="ListParagraph"/>
        <w:spacing w:line="240" w:lineRule="auto"/>
        <w:ind w:left="142"/>
        <w:contextualSpacing w:val="0"/>
        <w:jc w:val="both"/>
        <w:rPr>
          <w:rFonts w:ascii="Times New Roman" w:hAnsi="Times New Roman" w:cs="Times New Roman"/>
          <w:sz w:val="24"/>
          <w:szCs w:val="24"/>
        </w:rPr>
      </w:pPr>
      <w:r w:rsidRPr="0073373A">
        <w:rPr>
          <w:rFonts w:ascii="Times New Roman" w:hAnsi="Times New Roman" w:cs="Times New Roman"/>
          <w:sz w:val="24"/>
          <w:szCs w:val="24"/>
        </w:rPr>
        <w:t>202</w:t>
      </w:r>
      <w:r w:rsidR="00732341" w:rsidRPr="0073373A">
        <w:rPr>
          <w:rFonts w:ascii="Times New Roman" w:hAnsi="Times New Roman" w:cs="Times New Roman"/>
          <w:sz w:val="24"/>
          <w:szCs w:val="24"/>
        </w:rPr>
        <w:t>3</w:t>
      </w:r>
      <w:r w:rsidRPr="0073373A">
        <w:rPr>
          <w:rFonts w:ascii="Times New Roman" w:hAnsi="Times New Roman" w:cs="Times New Roman"/>
          <w:sz w:val="24"/>
          <w:szCs w:val="24"/>
        </w:rPr>
        <w:t xml:space="preserve">. gadā interaktīvo azartspēļu ieņēmumu īpatsvars (%) no kopējiem azartspēļu ieņēmumiem sastādīja </w:t>
      </w:r>
      <w:r w:rsidR="00F90FD7" w:rsidRPr="0073373A">
        <w:rPr>
          <w:rFonts w:ascii="Times New Roman" w:hAnsi="Times New Roman" w:cs="Times New Roman"/>
          <w:sz w:val="24"/>
          <w:szCs w:val="24"/>
        </w:rPr>
        <w:t>47</w:t>
      </w:r>
      <w:r w:rsidRPr="0073373A">
        <w:rPr>
          <w:rFonts w:ascii="Times New Roman" w:hAnsi="Times New Roman" w:cs="Times New Roman"/>
          <w:sz w:val="24"/>
          <w:szCs w:val="24"/>
        </w:rPr>
        <w:t>%, 202</w:t>
      </w:r>
      <w:r w:rsidR="00F90FD7" w:rsidRPr="0073373A">
        <w:rPr>
          <w:rFonts w:ascii="Times New Roman" w:hAnsi="Times New Roman" w:cs="Times New Roman"/>
          <w:sz w:val="24"/>
          <w:szCs w:val="24"/>
        </w:rPr>
        <w:t>4</w:t>
      </w:r>
      <w:r w:rsidRPr="0073373A">
        <w:rPr>
          <w:rFonts w:ascii="Times New Roman" w:hAnsi="Times New Roman" w:cs="Times New Roman"/>
          <w:sz w:val="24"/>
          <w:szCs w:val="24"/>
        </w:rPr>
        <w:t xml:space="preserve">.g. – </w:t>
      </w:r>
      <w:r w:rsidR="003666D9" w:rsidRPr="0073373A">
        <w:rPr>
          <w:rFonts w:ascii="Times New Roman" w:hAnsi="Times New Roman" w:cs="Times New Roman"/>
          <w:sz w:val="24"/>
          <w:szCs w:val="24"/>
        </w:rPr>
        <w:t>51</w:t>
      </w:r>
      <w:r w:rsidRPr="0073373A">
        <w:rPr>
          <w:rFonts w:ascii="Times New Roman" w:hAnsi="Times New Roman" w:cs="Times New Roman"/>
          <w:sz w:val="24"/>
          <w:szCs w:val="24"/>
        </w:rPr>
        <w:t xml:space="preserve"> % un 20</w:t>
      </w:r>
      <w:r w:rsidR="003666D9" w:rsidRPr="0073373A">
        <w:rPr>
          <w:rFonts w:ascii="Times New Roman" w:hAnsi="Times New Roman" w:cs="Times New Roman"/>
          <w:sz w:val="24"/>
          <w:szCs w:val="24"/>
        </w:rPr>
        <w:t>25</w:t>
      </w:r>
      <w:r w:rsidRPr="0073373A">
        <w:rPr>
          <w:rFonts w:ascii="Times New Roman" w:hAnsi="Times New Roman" w:cs="Times New Roman"/>
          <w:sz w:val="24"/>
          <w:szCs w:val="24"/>
        </w:rPr>
        <w:t xml:space="preserve">.g. – </w:t>
      </w:r>
      <w:r w:rsidR="00A9354D" w:rsidRPr="0073373A">
        <w:rPr>
          <w:rFonts w:ascii="Times New Roman" w:hAnsi="Times New Roman" w:cs="Times New Roman"/>
          <w:sz w:val="24"/>
          <w:szCs w:val="24"/>
        </w:rPr>
        <w:t>5</w:t>
      </w:r>
      <w:r w:rsidR="00883978" w:rsidRPr="0073373A">
        <w:rPr>
          <w:rFonts w:ascii="Times New Roman" w:hAnsi="Times New Roman" w:cs="Times New Roman"/>
          <w:sz w:val="24"/>
          <w:szCs w:val="24"/>
        </w:rPr>
        <w:t>7</w:t>
      </w:r>
      <w:r w:rsidRPr="0073373A">
        <w:rPr>
          <w:rFonts w:ascii="Times New Roman" w:hAnsi="Times New Roman" w:cs="Times New Roman"/>
          <w:sz w:val="24"/>
          <w:szCs w:val="24"/>
        </w:rPr>
        <w:t xml:space="preserve">%. </w:t>
      </w:r>
      <w:r w:rsidR="00287E72" w:rsidRPr="0073373A">
        <w:rPr>
          <w:rFonts w:ascii="Times New Roman" w:hAnsi="Times New Roman" w:cs="Times New Roman"/>
          <w:sz w:val="24"/>
          <w:szCs w:val="24"/>
        </w:rPr>
        <w:t>P</w:t>
      </w:r>
      <w:r w:rsidR="00F779D6" w:rsidRPr="0073373A">
        <w:rPr>
          <w:rFonts w:ascii="Times New Roman" w:hAnsi="Times New Roman" w:cs="Times New Roman"/>
          <w:sz w:val="24"/>
          <w:szCs w:val="24"/>
        </w:rPr>
        <w:t xml:space="preserve">ārskata periodā stabilizējās sektora struktūra, </w:t>
      </w:r>
      <w:r w:rsidR="001263CF" w:rsidRPr="0073373A">
        <w:rPr>
          <w:rFonts w:ascii="Times New Roman" w:hAnsi="Times New Roman" w:cs="Times New Roman"/>
          <w:sz w:val="24"/>
          <w:szCs w:val="24"/>
        </w:rPr>
        <w:t>kā rezultātā</w:t>
      </w:r>
      <w:r w:rsidR="00F779D6" w:rsidRPr="0073373A">
        <w:rPr>
          <w:rFonts w:ascii="Times New Roman" w:hAnsi="Times New Roman" w:cs="Times New Roman"/>
          <w:sz w:val="24"/>
          <w:szCs w:val="24"/>
        </w:rPr>
        <w:t xml:space="preserve"> pieaugot interaktīvo azartspēļu īpatsvaram. Interaktīvas </w:t>
      </w:r>
      <w:r w:rsidR="00BB597A" w:rsidRPr="0073373A">
        <w:rPr>
          <w:rFonts w:ascii="Times New Roman" w:hAnsi="Times New Roman" w:cs="Times New Roman"/>
          <w:sz w:val="24"/>
          <w:szCs w:val="24"/>
        </w:rPr>
        <w:t>azartspēlēs</w:t>
      </w:r>
      <w:r w:rsidR="00F779D6" w:rsidRPr="0073373A">
        <w:rPr>
          <w:rFonts w:ascii="Times New Roman" w:hAnsi="Times New Roman" w:cs="Times New Roman"/>
          <w:sz w:val="24"/>
          <w:szCs w:val="24"/>
        </w:rPr>
        <w:t xml:space="preserve"> 2025. gadā veidoja vairāk nekā pusi no kopējiem</w:t>
      </w:r>
      <w:r w:rsidR="005B21F4" w:rsidRPr="0073373A">
        <w:rPr>
          <w:rFonts w:ascii="Times New Roman" w:hAnsi="Times New Roman" w:cs="Times New Roman"/>
          <w:sz w:val="24"/>
          <w:szCs w:val="24"/>
        </w:rPr>
        <w:t xml:space="preserve"> sektora</w:t>
      </w:r>
      <w:r w:rsidR="00F779D6" w:rsidRPr="0073373A">
        <w:rPr>
          <w:rFonts w:ascii="Times New Roman" w:hAnsi="Times New Roman" w:cs="Times New Roman"/>
          <w:sz w:val="24"/>
          <w:szCs w:val="24"/>
        </w:rPr>
        <w:t xml:space="preserve"> ieņēmumiem, kas liecina par būtisku attālināto pakalpojumu lomas pieaugumu sektorā.</w:t>
      </w:r>
      <w:r w:rsidR="005A492D" w:rsidRPr="0073373A">
        <w:rPr>
          <w:rFonts w:ascii="Times New Roman" w:hAnsi="Times New Roman" w:cs="Times New Roman"/>
          <w:sz w:val="24"/>
          <w:szCs w:val="24"/>
        </w:rPr>
        <w:t xml:space="preserve"> </w:t>
      </w:r>
      <w:r w:rsidR="00656BE2" w:rsidRPr="0073373A">
        <w:rPr>
          <w:rFonts w:ascii="Times New Roman" w:hAnsi="Times New Roman" w:cs="Times New Roman"/>
          <w:sz w:val="24"/>
          <w:szCs w:val="24"/>
        </w:rPr>
        <w:t xml:space="preserve">Vienlaikus turpinājās klātienes azartspēļu vietu (spēļu zāļu un totalizatora likmju pieņemšanas punktu) skaita samazināšanās, kas </w:t>
      </w:r>
      <w:r w:rsidR="005B21F4" w:rsidRPr="0073373A">
        <w:rPr>
          <w:rFonts w:ascii="Times New Roman" w:hAnsi="Times New Roman" w:cs="Times New Roman"/>
          <w:sz w:val="24"/>
          <w:szCs w:val="24"/>
        </w:rPr>
        <w:t>apliecina</w:t>
      </w:r>
      <w:r w:rsidR="00656BE2" w:rsidRPr="0073373A">
        <w:rPr>
          <w:rFonts w:ascii="Times New Roman" w:hAnsi="Times New Roman" w:cs="Times New Roman"/>
          <w:sz w:val="24"/>
          <w:szCs w:val="24"/>
        </w:rPr>
        <w:t xml:space="preserve"> pakāpenisku sektora pārorientēšanos uz attālinātajiem pakalpojumiem.</w:t>
      </w:r>
      <w:r w:rsidR="00381949" w:rsidRPr="0073373A">
        <w:rPr>
          <w:rFonts w:ascii="Times New Roman" w:hAnsi="Times New Roman" w:cs="Times New Roman"/>
          <w:sz w:val="24"/>
          <w:szCs w:val="24"/>
        </w:rPr>
        <w:t xml:space="preserve"> </w:t>
      </w:r>
      <w:r w:rsidR="005D3D46" w:rsidRPr="0073373A">
        <w:rPr>
          <w:rFonts w:ascii="Times New Roman" w:hAnsi="Times New Roman" w:cs="Times New Roman"/>
          <w:sz w:val="24"/>
          <w:szCs w:val="24"/>
        </w:rPr>
        <w:t xml:space="preserve"> </w:t>
      </w:r>
    </w:p>
    <w:p w14:paraId="6F77D711" w14:textId="191C08FE" w:rsidR="006E7193" w:rsidRPr="0073373A" w:rsidRDefault="007B4AB0" w:rsidP="00C37E1F">
      <w:pPr>
        <w:pStyle w:val="ListParagraph"/>
        <w:numPr>
          <w:ilvl w:val="0"/>
          <w:numId w:val="1"/>
        </w:numPr>
        <w:spacing w:line="240" w:lineRule="auto"/>
        <w:ind w:left="142" w:hanging="425"/>
        <w:contextualSpacing w:val="0"/>
        <w:jc w:val="both"/>
        <w:rPr>
          <w:rFonts w:ascii="Times New Roman" w:hAnsi="Times New Roman" w:cs="Times New Roman"/>
          <w:sz w:val="24"/>
          <w:szCs w:val="24"/>
        </w:rPr>
      </w:pPr>
      <w:r w:rsidRPr="0073373A">
        <w:rPr>
          <w:rFonts w:ascii="Times New Roman" w:hAnsi="Times New Roman" w:cs="Times New Roman"/>
          <w:sz w:val="24"/>
          <w:szCs w:val="24"/>
        </w:rPr>
        <w:t xml:space="preserve">Sektora </w:t>
      </w:r>
      <w:r w:rsidR="00DA2277" w:rsidRPr="0073373A">
        <w:rPr>
          <w:rFonts w:ascii="Times New Roman" w:hAnsi="Times New Roman" w:cs="Times New Roman"/>
          <w:sz w:val="24"/>
          <w:szCs w:val="24"/>
        </w:rPr>
        <w:t>attīstības tendences</w:t>
      </w:r>
    </w:p>
    <w:p w14:paraId="6A64C928" w14:textId="7067B621" w:rsidR="00DA2277" w:rsidRPr="0073373A" w:rsidRDefault="00DA2277" w:rsidP="00DA2277">
      <w:pPr>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Pārskata periodā azartspēļu nozare turpināja virzīties uz digitalizāciju un attālinātu pakalpojumu sniegšanu. Interaktīvo azartspēļu īpatsvars kopējos nozares ieņēmumos pieauga no 47% 2023. gadā līdz 57% 2025. gadā, kas norāda uz stabilu klientu paradumu maiņu un pieaugošu pieprasījumu pēc attālināti pieejamiem pakalpojumiem. Vienlaikus tika novērota tradicionālo azartspēļu organizēšanas vietu skaita samazināšanās, kas liecina par pakāpenisku nozares strukturālu transformāciju.</w:t>
      </w:r>
    </w:p>
    <w:p w14:paraId="5A6023DF" w14:textId="68B0E5F9" w:rsidR="00A13C7F" w:rsidRPr="0073373A" w:rsidRDefault="00A13C7F" w:rsidP="00A13C7F">
      <w:pPr>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Digitalizācijas procesi ir veicinājuši tehnoloģisko risinājumu ieviešanu darījumu uzraudzībā un riska pārvaldībā. Interaktīvo azartspēļu organizētāji arvien biežāk izmanto automatizētas uzraudzības sistēmas, kas ļauj identificēt netipiskus klientu uzvedības modeļus, aizdomīgas darījumu ķēdes un iespējamas sankciju riska pazīmes.</w:t>
      </w:r>
    </w:p>
    <w:p w14:paraId="31A82826" w14:textId="2DA55700" w:rsidR="00B85EC4" w:rsidRPr="0073373A" w:rsidRDefault="00B85EC4" w:rsidP="00A13C7F">
      <w:pPr>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lastRenderedPageBreak/>
        <w:t>Līdz ar interaktīvo azartspēļu īpatsvara pieaugumu būtiska nozīme ir arī nelicencētu interaktīvo azartspēļu vietņu identificēšanai un bloķēšanai. Nelicencētu azartspēļu vietņu pieejamība rada papildu riskus, jo šādās vietnēs klientiem netiek nodrošinātas tādas pašas uzraudzības un kontroles prasības kā licencētu azartspēļu organizētāju gadījumā. Tādēļ nelicencētu vietņu bloķēšana ir nozīmīgs sektora uzraudzības pasākums, kas vienlaikus ierobežo nelegālu azartspēļu pakalpojumu pieejamību un veicina klientu darbības novirzīšanu uz licencētu un uzraudzītu pakalpojumu vidi.</w:t>
      </w:r>
    </w:p>
    <w:tbl>
      <w:tblPr>
        <w:tblStyle w:val="TableGrid"/>
        <w:tblW w:w="0" w:type="auto"/>
        <w:jc w:val="center"/>
        <w:tblLook w:val="04A0" w:firstRow="1" w:lastRow="0" w:firstColumn="1" w:lastColumn="0" w:noHBand="0" w:noVBand="1"/>
      </w:tblPr>
      <w:tblGrid>
        <w:gridCol w:w="750"/>
        <w:gridCol w:w="5545"/>
        <w:gridCol w:w="2668"/>
      </w:tblGrid>
      <w:tr w:rsidR="00B85EC4" w:rsidRPr="00B85EC4" w14:paraId="0B0120E8" w14:textId="77777777" w:rsidTr="00B85EC4">
        <w:trPr>
          <w:jc w:val="center"/>
        </w:trPr>
        <w:tc>
          <w:tcPr>
            <w:tcW w:w="0" w:type="auto"/>
            <w:shd w:val="clear" w:color="auto" w:fill="4C94D8" w:themeFill="text2" w:themeFillTint="80"/>
            <w:hideMark/>
          </w:tcPr>
          <w:p w14:paraId="005E5A4B" w14:textId="77777777" w:rsidR="00B85EC4" w:rsidRPr="00B85EC4" w:rsidRDefault="00B85EC4" w:rsidP="00B85EC4">
            <w:pPr>
              <w:spacing w:line="240" w:lineRule="auto"/>
              <w:jc w:val="center"/>
              <w:rPr>
                <w:rFonts w:ascii="Times New Roman" w:eastAsia="Times New Roman" w:hAnsi="Times New Roman" w:cs="Times New Roman"/>
                <w:b/>
                <w:bCs/>
                <w:sz w:val="24"/>
                <w:szCs w:val="24"/>
                <w:lang w:eastAsia="lv-LV"/>
              </w:rPr>
            </w:pPr>
            <w:r w:rsidRPr="00B85EC4">
              <w:rPr>
                <w:rFonts w:ascii="Times New Roman" w:eastAsia="Times New Roman" w:hAnsi="Times New Roman" w:cs="Times New Roman"/>
                <w:b/>
                <w:bCs/>
                <w:sz w:val="24"/>
                <w:szCs w:val="24"/>
                <w:lang w:eastAsia="lv-LV"/>
              </w:rPr>
              <w:t>Gads</w:t>
            </w:r>
          </w:p>
        </w:tc>
        <w:tc>
          <w:tcPr>
            <w:tcW w:w="0" w:type="auto"/>
            <w:shd w:val="clear" w:color="auto" w:fill="4C94D8" w:themeFill="text2" w:themeFillTint="80"/>
            <w:hideMark/>
          </w:tcPr>
          <w:p w14:paraId="3EBAA066" w14:textId="77777777" w:rsidR="00B85EC4" w:rsidRPr="00B85EC4" w:rsidRDefault="00B85EC4" w:rsidP="00B85EC4">
            <w:pPr>
              <w:spacing w:line="240" w:lineRule="auto"/>
              <w:jc w:val="center"/>
              <w:rPr>
                <w:rFonts w:ascii="Times New Roman" w:eastAsia="Times New Roman" w:hAnsi="Times New Roman" w:cs="Times New Roman"/>
                <w:b/>
                <w:bCs/>
                <w:sz w:val="24"/>
                <w:szCs w:val="24"/>
                <w:lang w:eastAsia="lv-LV"/>
              </w:rPr>
            </w:pPr>
            <w:r w:rsidRPr="00B85EC4">
              <w:rPr>
                <w:rFonts w:ascii="Times New Roman" w:eastAsia="Times New Roman" w:hAnsi="Times New Roman" w:cs="Times New Roman"/>
                <w:b/>
                <w:bCs/>
                <w:sz w:val="24"/>
                <w:szCs w:val="24"/>
                <w:lang w:eastAsia="lv-LV"/>
              </w:rPr>
              <w:t>Pieņemtie lēmumi par nelicencēto interaktīvo azartspēļu vietņu bloķēšanu</w:t>
            </w:r>
          </w:p>
        </w:tc>
        <w:tc>
          <w:tcPr>
            <w:tcW w:w="0" w:type="auto"/>
            <w:shd w:val="clear" w:color="auto" w:fill="4C94D8" w:themeFill="text2" w:themeFillTint="80"/>
            <w:hideMark/>
          </w:tcPr>
          <w:p w14:paraId="18A848E4" w14:textId="77777777" w:rsidR="00B85EC4" w:rsidRPr="00B85EC4" w:rsidRDefault="00B85EC4" w:rsidP="00B85EC4">
            <w:pPr>
              <w:spacing w:line="240" w:lineRule="auto"/>
              <w:jc w:val="center"/>
              <w:rPr>
                <w:rFonts w:ascii="Times New Roman" w:eastAsia="Times New Roman" w:hAnsi="Times New Roman" w:cs="Times New Roman"/>
                <w:b/>
                <w:bCs/>
                <w:sz w:val="24"/>
                <w:szCs w:val="24"/>
                <w:lang w:eastAsia="lv-LV"/>
              </w:rPr>
            </w:pPr>
            <w:r w:rsidRPr="00B85EC4">
              <w:rPr>
                <w:rFonts w:ascii="Times New Roman" w:eastAsia="Times New Roman" w:hAnsi="Times New Roman" w:cs="Times New Roman"/>
                <w:b/>
                <w:bCs/>
                <w:sz w:val="24"/>
                <w:szCs w:val="24"/>
                <w:lang w:eastAsia="lv-LV"/>
              </w:rPr>
              <w:t>Izmaiņas pret iepriekšējo gadu</w:t>
            </w:r>
          </w:p>
        </w:tc>
      </w:tr>
      <w:tr w:rsidR="00B85EC4" w:rsidRPr="00B85EC4" w14:paraId="777E7E5E" w14:textId="77777777" w:rsidTr="00B85EC4">
        <w:trPr>
          <w:jc w:val="center"/>
        </w:trPr>
        <w:tc>
          <w:tcPr>
            <w:tcW w:w="0" w:type="auto"/>
            <w:hideMark/>
          </w:tcPr>
          <w:p w14:paraId="45582219" w14:textId="77777777" w:rsidR="00B85EC4" w:rsidRPr="00B85EC4" w:rsidRDefault="00B85EC4" w:rsidP="00B85EC4">
            <w:pPr>
              <w:spacing w:line="240" w:lineRule="auto"/>
              <w:rPr>
                <w:rFonts w:ascii="Times New Roman" w:eastAsia="Times New Roman" w:hAnsi="Times New Roman" w:cs="Times New Roman"/>
                <w:sz w:val="24"/>
                <w:szCs w:val="24"/>
                <w:lang w:eastAsia="lv-LV"/>
              </w:rPr>
            </w:pPr>
            <w:r w:rsidRPr="00B85EC4">
              <w:rPr>
                <w:rFonts w:ascii="Times New Roman" w:eastAsia="Times New Roman" w:hAnsi="Times New Roman" w:cs="Times New Roman"/>
                <w:sz w:val="24"/>
                <w:szCs w:val="24"/>
                <w:lang w:eastAsia="lv-LV"/>
              </w:rPr>
              <w:t>2023</w:t>
            </w:r>
          </w:p>
        </w:tc>
        <w:tc>
          <w:tcPr>
            <w:tcW w:w="0" w:type="auto"/>
            <w:hideMark/>
          </w:tcPr>
          <w:p w14:paraId="6120ED4D" w14:textId="77777777" w:rsidR="00B85EC4" w:rsidRPr="00B85EC4" w:rsidRDefault="00B85EC4" w:rsidP="00B85EC4">
            <w:pPr>
              <w:spacing w:line="240" w:lineRule="auto"/>
              <w:rPr>
                <w:rFonts w:ascii="Times New Roman" w:eastAsia="Times New Roman" w:hAnsi="Times New Roman" w:cs="Times New Roman"/>
                <w:sz w:val="24"/>
                <w:szCs w:val="24"/>
                <w:lang w:eastAsia="lv-LV"/>
              </w:rPr>
            </w:pPr>
            <w:r w:rsidRPr="00B85EC4">
              <w:rPr>
                <w:rFonts w:ascii="Times New Roman" w:eastAsia="Times New Roman" w:hAnsi="Times New Roman" w:cs="Times New Roman"/>
                <w:sz w:val="24"/>
                <w:szCs w:val="24"/>
                <w:lang w:eastAsia="lv-LV"/>
              </w:rPr>
              <w:t>317</w:t>
            </w:r>
          </w:p>
        </w:tc>
        <w:tc>
          <w:tcPr>
            <w:tcW w:w="0" w:type="auto"/>
            <w:hideMark/>
          </w:tcPr>
          <w:p w14:paraId="473C831B" w14:textId="77777777" w:rsidR="00B85EC4" w:rsidRPr="00B85EC4" w:rsidRDefault="00B85EC4" w:rsidP="00B85EC4">
            <w:pPr>
              <w:spacing w:line="240" w:lineRule="auto"/>
              <w:rPr>
                <w:rFonts w:ascii="Times New Roman" w:eastAsia="Times New Roman" w:hAnsi="Times New Roman" w:cs="Times New Roman"/>
                <w:sz w:val="24"/>
                <w:szCs w:val="24"/>
                <w:lang w:eastAsia="lv-LV"/>
              </w:rPr>
            </w:pPr>
            <w:r w:rsidRPr="00B85EC4">
              <w:rPr>
                <w:rFonts w:ascii="Times New Roman" w:eastAsia="Times New Roman" w:hAnsi="Times New Roman" w:cs="Times New Roman"/>
                <w:sz w:val="24"/>
                <w:szCs w:val="24"/>
                <w:lang w:eastAsia="lv-LV"/>
              </w:rPr>
              <w:t>—</w:t>
            </w:r>
          </w:p>
        </w:tc>
      </w:tr>
      <w:tr w:rsidR="00B85EC4" w:rsidRPr="00B85EC4" w14:paraId="11389F9A" w14:textId="77777777" w:rsidTr="00B85EC4">
        <w:trPr>
          <w:jc w:val="center"/>
        </w:trPr>
        <w:tc>
          <w:tcPr>
            <w:tcW w:w="0" w:type="auto"/>
            <w:hideMark/>
          </w:tcPr>
          <w:p w14:paraId="4AC2DB00" w14:textId="77777777" w:rsidR="00B85EC4" w:rsidRPr="00B85EC4" w:rsidRDefault="00B85EC4" w:rsidP="00B85EC4">
            <w:pPr>
              <w:spacing w:line="240" w:lineRule="auto"/>
              <w:rPr>
                <w:rFonts w:ascii="Times New Roman" w:eastAsia="Times New Roman" w:hAnsi="Times New Roman" w:cs="Times New Roman"/>
                <w:sz w:val="24"/>
                <w:szCs w:val="24"/>
                <w:lang w:eastAsia="lv-LV"/>
              </w:rPr>
            </w:pPr>
            <w:r w:rsidRPr="00B85EC4">
              <w:rPr>
                <w:rFonts w:ascii="Times New Roman" w:eastAsia="Times New Roman" w:hAnsi="Times New Roman" w:cs="Times New Roman"/>
                <w:sz w:val="24"/>
                <w:szCs w:val="24"/>
                <w:lang w:eastAsia="lv-LV"/>
              </w:rPr>
              <w:t>2024</w:t>
            </w:r>
          </w:p>
        </w:tc>
        <w:tc>
          <w:tcPr>
            <w:tcW w:w="0" w:type="auto"/>
            <w:hideMark/>
          </w:tcPr>
          <w:p w14:paraId="30587CC5" w14:textId="77777777" w:rsidR="00B85EC4" w:rsidRPr="00B85EC4" w:rsidRDefault="00B85EC4" w:rsidP="00B85EC4">
            <w:pPr>
              <w:spacing w:line="240" w:lineRule="auto"/>
              <w:rPr>
                <w:rFonts w:ascii="Times New Roman" w:eastAsia="Times New Roman" w:hAnsi="Times New Roman" w:cs="Times New Roman"/>
                <w:sz w:val="24"/>
                <w:szCs w:val="24"/>
                <w:lang w:eastAsia="lv-LV"/>
              </w:rPr>
            </w:pPr>
            <w:r w:rsidRPr="00B85EC4">
              <w:rPr>
                <w:rFonts w:ascii="Times New Roman" w:eastAsia="Times New Roman" w:hAnsi="Times New Roman" w:cs="Times New Roman"/>
                <w:sz w:val="24"/>
                <w:szCs w:val="24"/>
                <w:lang w:eastAsia="lv-LV"/>
              </w:rPr>
              <w:t>284</w:t>
            </w:r>
          </w:p>
        </w:tc>
        <w:tc>
          <w:tcPr>
            <w:tcW w:w="0" w:type="auto"/>
            <w:hideMark/>
          </w:tcPr>
          <w:p w14:paraId="4DB76F60" w14:textId="77777777" w:rsidR="00B85EC4" w:rsidRPr="00B85EC4" w:rsidRDefault="00B85EC4" w:rsidP="00B85EC4">
            <w:pPr>
              <w:spacing w:line="240" w:lineRule="auto"/>
              <w:rPr>
                <w:rFonts w:ascii="Times New Roman" w:eastAsia="Times New Roman" w:hAnsi="Times New Roman" w:cs="Times New Roman"/>
                <w:sz w:val="24"/>
                <w:szCs w:val="24"/>
                <w:lang w:eastAsia="lv-LV"/>
              </w:rPr>
            </w:pPr>
            <w:r w:rsidRPr="00B85EC4">
              <w:rPr>
                <w:rFonts w:ascii="Times New Roman" w:eastAsia="Times New Roman" w:hAnsi="Times New Roman" w:cs="Times New Roman"/>
                <w:sz w:val="24"/>
                <w:szCs w:val="24"/>
                <w:lang w:eastAsia="lv-LV"/>
              </w:rPr>
              <w:t>−10,4%</w:t>
            </w:r>
          </w:p>
        </w:tc>
      </w:tr>
      <w:tr w:rsidR="00B85EC4" w:rsidRPr="00B85EC4" w14:paraId="68E69E53" w14:textId="77777777" w:rsidTr="00B85EC4">
        <w:trPr>
          <w:jc w:val="center"/>
        </w:trPr>
        <w:tc>
          <w:tcPr>
            <w:tcW w:w="0" w:type="auto"/>
            <w:hideMark/>
          </w:tcPr>
          <w:p w14:paraId="444F95BC" w14:textId="77777777" w:rsidR="00B85EC4" w:rsidRPr="00B85EC4" w:rsidRDefault="00B85EC4" w:rsidP="00B85EC4">
            <w:pPr>
              <w:spacing w:line="240" w:lineRule="auto"/>
              <w:rPr>
                <w:rFonts w:ascii="Times New Roman" w:eastAsia="Times New Roman" w:hAnsi="Times New Roman" w:cs="Times New Roman"/>
                <w:sz w:val="24"/>
                <w:szCs w:val="24"/>
                <w:lang w:eastAsia="lv-LV"/>
              </w:rPr>
            </w:pPr>
            <w:r w:rsidRPr="00B85EC4">
              <w:rPr>
                <w:rFonts w:ascii="Times New Roman" w:eastAsia="Times New Roman" w:hAnsi="Times New Roman" w:cs="Times New Roman"/>
                <w:sz w:val="24"/>
                <w:szCs w:val="24"/>
                <w:lang w:eastAsia="lv-LV"/>
              </w:rPr>
              <w:t>2025</w:t>
            </w:r>
          </w:p>
        </w:tc>
        <w:tc>
          <w:tcPr>
            <w:tcW w:w="0" w:type="auto"/>
            <w:hideMark/>
          </w:tcPr>
          <w:p w14:paraId="3C302F61" w14:textId="77777777" w:rsidR="00B85EC4" w:rsidRPr="00B85EC4" w:rsidRDefault="00B85EC4" w:rsidP="00B85EC4">
            <w:pPr>
              <w:spacing w:line="240" w:lineRule="auto"/>
              <w:rPr>
                <w:rFonts w:ascii="Times New Roman" w:eastAsia="Times New Roman" w:hAnsi="Times New Roman" w:cs="Times New Roman"/>
                <w:sz w:val="24"/>
                <w:szCs w:val="24"/>
                <w:lang w:eastAsia="lv-LV"/>
              </w:rPr>
            </w:pPr>
            <w:r w:rsidRPr="00B85EC4">
              <w:rPr>
                <w:rFonts w:ascii="Times New Roman" w:eastAsia="Times New Roman" w:hAnsi="Times New Roman" w:cs="Times New Roman"/>
                <w:sz w:val="24"/>
                <w:szCs w:val="24"/>
                <w:lang w:eastAsia="lv-LV"/>
              </w:rPr>
              <w:t>360</w:t>
            </w:r>
          </w:p>
        </w:tc>
        <w:tc>
          <w:tcPr>
            <w:tcW w:w="0" w:type="auto"/>
            <w:hideMark/>
          </w:tcPr>
          <w:p w14:paraId="1F966D2A" w14:textId="77777777" w:rsidR="00B85EC4" w:rsidRPr="00B85EC4" w:rsidRDefault="00B85EC4" w:rsidP="00B85EC4">
            <w:pPr>
              <w:spacing w:line="240" w:lineRule="auto"/>
              <w:rPr>
                <w:rFonts w:ascii="Times New Roman" w:eastAsia="Times New Roman" w:hAnsi="Times New Roman" w:cs="Times New Roman"/>
                <w:sz w:val="24"/>
                <w:szCs w:val="24"/>
                <w:lang w:eastAsia="lv-LV"/>
              </w:rPr>
            </w:pPr>
            <w:r w:rsidRPr="00B85EC4">
              <w:rPr>
                <w:rFonts w:ascii="Times New Roman" w:eastAsia="Times New Roman" w:hAnsi="Times New Roman" w:cs="Times New Roman"/>
                <w:sz w:val="24"/>
                <w:szCs w:val="24"/>
                <w:lang w:eastAsia="lv-LV"/>
              </w:rPr>
              <w:t>+26,8%</w:t>
            </w:r>
          </w:p>
        </w:tc>
      </w:tr>
    </w:tbl>
    <w:p w14:paraId="3478298A" w14:textId="77777777" w:rsidR="00B85EC4" w:rsidRPr="0073373A" w:rsidRDefault="00B85EC4" w:rsidP="00A13C7F">
      <w:pPr>
        <w:spacing w:line="240" w:lineRule="auto"/>
        <w:ind w:left="142"/>
        <w:jc w:val="both"/>
        <w:rPr>
          <w:rFonts w:ascii="Times New Roman" w:hAnsi="Times New Roman" w:cs="Times New Roman"/>
          <w:sz w:val="24"/>
          <w:szCs w:val="24"/>
        </w:rPr>
      </w:pPr>
    </w:p>
    <w:p w14:paraId="26BE0C09" w14:textId="132E9C3F" w:rsidR="00B85EC4" w:rsidRPr="0073373A" w:rsidRDefault="003C5394" w:rsidP="00B85EC4">
      <w:pPr>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2023. gadā tika pieņemti 317 lēmumi par nelicencēto interaktīvo azartspēļu vietņu bloķēšanu, 2024. gadā – 284 lēmumi, savukārt 2025. gadā – 360 lēmumi. Tādējādi pēc lēmumu skaita samazinājuma 2024. gadā 2025. gadā tika novērots būtisks pieaugums. Kopš 2014. gada 1. augusta līdz 2025. gada beigām kopumā bija pieņemti 3975 lēmumi par nelicencēto interaktīvo azartspēļu vietņu bloķēšanu. Šie dati liecina par sistemātisku nelicencētu azartspēļu pakalpojumu ierobežošanu un uzraudzības nozīmes pieaugumu, ņemot vērā interaktīvo azartspēļu segmenta arvien lielāko īpatsvaru kopējā nozares darbībā.</w:t>
      </w:r>
    </w:p>
    <w:p w14:paraId="23BC0016" w14:textId="77777777" w:rsidR="00B85EC4" w:rsidRPr="0073373A" w:rsidRDefault="00B85EC4" w:rsidP="00A13C7F">
      <w:pPr>
        <w:spacing w:line="240" w:lineRule="auto"/>
        <w:ind w:left="142"/>
        <w:jc w:val="bot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750"/>
        <w:gridCol w:w="5016"/>
      </w:tblGrid>
      <w:tr w:rsidR="00455B9D" w:rsidRPr="0073373A" w14:paraId="23C50AD5" w14:textId="77777777" w:rsidTr="005C005C">
        <w:trPr>
          <w:jc w:val="center"/>
        </w:trPr>
        <w:tc>
          <w:tcPr>
            <w:tcW w:w="0" w:type="auto"/>
            <w:shd w:val="clear" w:color="auto" w:fill="4C94D8" w:themeFill="text2" w:themeFillTint="80"/>
            <w:hideMark/>
          </w:tcPr>
          <w:p w14:paraId="0B1D65B4" w14:textId="77777777" w:rsidR="00455B9D" w:rsidRPr="0073373A" w:rsidRDefault="00455B9D" w:rsidP="00455B9D">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Gads</w:t>
            </w:r>
          </w:p>
        </w:tc>
        <w:tc>
          <w:tcPr>
            <w:tcW w:w="0" w:type="auto"/>
            <w:shd w:val="clear" w:color="auto" w:fill="4C94D8" w:themeFill="text2" w:themeFillTint="80"/>
            <w:hideMark/>
          </w:tcPr>
          <w:p w14:paraId="01D35734" w14:textId="1759F474" w:rsidR="00455B9D" w:rsidRPr="0073373A" w:rsidRDefault="00455B9D" w:rsidP="00455B9D">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Reģistrēto interaktīvo spēlētāju skaits</w:t>
            </w:r>
            <w:r w:rsidR="005C005C" w:rsidRPr="0073373A">
              <w:rPr>
                <w:rFonts w:ascii="Times New Roman" w:eastAsia="Times New Roman" w:hAnsi="Times New Roman" w:cs="Times New Roman"/>
                <w:b/>
                <w:bCs/>
                <w:sz w:val="24"/>
                <w:szCs w:val="24"/>
                <w:lang w:eastAsia="lv-LV"/>
              </w:rPr>
              <w:t xml:space="preserve"> periodā</w:t>
            </w:r>
            <w:r w:rsidR="00D054DA" w:rsidRPr="0073373A">
              <w:rPr>
                <w:rStyle w:val="FootnoteReference"/>
                <w:rFonts w:ascii="Times New Roman" w:eastAsia="Times New Roman" w:hAnsi="Times New Roman" w:cs="Times New Roman"/>
                <w:b/>
                <w:bCs/>
                <w:sz w:val="24"/>
                <w:szCs w:val="24"/>
                <w:lang w:eastAsia="lv-LV"/>
              </w:rPr>
              <w:footnoteReference w:id="1"/>
            </w:r>
          </w:p>
        </w:tc>
      </w:tr>
      <w:tr w:rsidR="00455B9D" w:rsidRPr="0073373A" w14:paraId="58EFDB65" w14:textId="77777777" w:rsidTr="00455B9D">
        <w:trPr>
          <w:jc w:val="center"/>
        </w:trPr>
        <w:tc>
          <w:tcPr>
            <w:tcW w:w="0" w:type="auto"/>
            <w:hideMark/>
          </w:tcPr>
          <w:p w14:paraId="593D55E9" w14:textId="77777777" w:rsidR="00455B9D" w:rsidRPr="0073373A" w:rsidRDefault="00455B9D" w:rsidP="00455B9D">
            <w:pPr>
              <w:spacing w:line="240" w:lineRule="auto"/>
              <w:jc w:val="center"/>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2023</w:t>
            </w:r>
          </w:p>
        </w:tc>
        <w:tc>
          <w:tcPr>
            <w:tcW w:w="0" w:type="auto"/>
            <w:hideMark/>
          </w:tcPr>
          <w:p w14:paraId="2115B5E5" w14:textId="5DE25557" w:rsidR="00455B9D" w:rsidRPr="0073373A" w:rsidRDefault="005C005C" w:rsidP="00455B9D">
            <w:pPr>
              <w:spacing w:line="240" w:lineRule="auto"/>
              <w:jc w:val="center"/>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328 207</w:t>
            </w:r>
          </w:p>
        </w:tc>
      </w:tr>
      <w:tr w:rsidR="00455B9D" w:rsidRPr="0073373A" w14:paraId="11AD8ABF" w14:textId="77777777" w:rsidTr="00455B9D">
        <w:trPr>
          <w:jc w:val="center"/>
        </w:trPr>
        <w:tc>
          <w:tcPr>
            <w:tcW w:w="0" w:type="auto"/>
            <w:hideMark/>
          </w:tcPr>
          <w:p w14:paraId="04C09D4B" w14:textId="77777777" w:rsidR="00455B9D" w:rsidRPr="0073373A" w:rsidRDefault="00455B9D" w:rsidP="00455B9D">
            <w:pPr>
              <w:spacing w:line="240" w:lineRule="auto"/>
              <w:jc w:val="center"/>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2024</w:t>
            </w:r>
          </w:p>
        </w:tc>
        <w:tc>
          <w:tcPr>
            <w:tcW w:w="0" w:type="auto"/>
            <w:hideMark/>
          </w:tcPr>
          <w:p w14:paraId="6C5EF36D" w14:textId="0593D32F" w:rsidR="00455B9D" w:rsidRPr="0073373A" w:rsidRDefault="005C005C" w:rsidP="00455B9D">
            <w:pPr>
              <w:spacing w:line="240" w:lineRule="auto"/>
              <w:jc w:val="center"/>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319 705</w:t>
            </w:r>
          </w:p>
        </w:tc>
      </w:tr>
      <w:tr w:rsidR="00455B9D" w:rsidRPr="0073373A" w14:paraId="6BBDC684" w14:textId="77777777" w:rsidTr="00455B9D">
        <w:trPr>
          <w:jc w:val="center"/>
        </w:trPr>
        <w:tc>
          <w:tcPr>
            <w:tcW w:w="0" w:type="auto"/>
            <w:hideMark/>
          </w:tcPr>
          <w:p w14:paraId="49B07576" w14:textId="77777777" w:rsidR="00455B9D" w:rsidRPr="0073373A" w:rsidRDefault="00455B9D" w:rsidP="00455B9D">
            <w:pPr>
              <w:spacing w:line="240" w:lineRule="auto"/>
              <w:jc w:val="center"/>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2025</w:t>
            </w:r>
          </w:p>
        </w:tc>
        <w:tc>
          <w:tcPr>
            <w:tcW w:w="0" w:type="auto"/>
            <w:hideMark/>
          </w:tcPr>
          <w:p w14:paraId="119712ED" w14:textId="7DC9DA37" w:rsidR="00455B9D" w:rsidRPr="0073373A" w:rsidRDefault="005C005C" w:rsidP="00455B9D">
            <w:pPr>
              <w:spacing w:line="240" w:lineRule="auto"/>
              <w:jc w:val="center"/>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256 619</w:t>
            </w:r>
          </w:p>
        </w:tc>
      </w:tr>
    </w:tbl>
    <w:p w14:paraId="527543F8" w14:textId="77777777" w:rsidR="004B478F" w:rsidRPr="0073373A" w:rsidRDefault="004B478F" w:rsidP="00DA2277">
      <w:pPr>
        <w:spacing w:line="240" w:lineRule="auto"/>
        <w:ind w:left="142"/>
        <w:jc w:val="both"/>
        <w:rPr>
          <w:rFonts w:ascii="Times New Roman" w:hAnsi="Times New Roman" w:cs="Times New Roman"/>
          <w:sz w:val="24"/>
          <w:szCs w:val="24"/>
        </w:rPr>
      </w:pPr>
    </w:p>
    <w:p w14:paraId="06A7457E" w14:textId="4963F206" w:rsidR="00455B9D" w:rsidRPr="0073373A" w:rsidRDefault="004B478F" w:rsidP="00DA2277">
      <w:pPr>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Lai gan jaunu reģistrētu klientu skaits pārskata periodā pakāpeniski samazinājās, sektora ieņēmumi saglabājās stabilā līmenī. Tas liecina, ka klientu skaita samazinājumam nav bijusi būtiska ietekme uz sektora ekonomisko aktivitāti un vidējā klienta spēļu aktivitāte vai veikto darījumu apjoms ir saglabājies salīdzinoši nemainīgs vai pieaudzis.</w:t>
      </w:r>
    </w:p>
    <w:tbl>
      <w:tblPr>
        <w:tblStyle w:val="TableGrid"/>
        <w:tblW w:w="0" w:type="auto"/>
        <w:jc w:val="center"/>
        <w:tblLook w:val="04A0" w:firstRow="1" w:lastRow="0" w:firstColumn="1" w:lastColumn="0" w:noHBand="0" w:noVBand="1"/>
      </w:tblPr>
      <w:tblGrid>
        <w:gridCol w:w="750"/>
        <w:gridCol w:w="2184"/>
        <w:gridCol w:w="1880"/>
        <w:gridCol w:w="2269"/>
        <w:gridCol w:w="1880"/>
      </w:tblGrid>
      <w:tr w:rsidR="00B238CD" w:rsidRPr="00B238CD" w14:paraId="6B3E5687" w14:textId="77777777" w:rsidTr="00B238CD">
        <w:trPr>
          <w:jc w:val="center"/>
        </w:trPr>
        <w:tc>
          <w:tcPr>
            <w:tcW w:w="0" w:type="auto"/>
            <w:shd w:val="clear" w:color="auto" w:fill="4C94D8" w:themeFill="text2" w:themeFillTint="80"/>
            <w:hideMark/>
          </w:tcPr>
          <w:p w14:paraId="519142CD" w14:textId="77777777" w:rsidR="00B238CD" w:rsidRPr="00B238CD" w:rsidRDefault="00B238CD" w:rsidP="00B238CD">
            <w:pPr>
              <w:spacing w:line="240" w:lineRule="auto"/>
              <w:jc w:val="center"/>
              <w:rPr>
                <w:rFonts w:ascii="Times New Roman" w:eastAsia="Times New Roman" w:hAnsi="Times New Roman" w:cs="Times New Roman"/>
                <w:b/>
                <w:bCs/>
                <w:sz w:val="24"/>
                <w:szCs w:val="24"/>
                <w:lang w:eastAsia="lv-LV"/>
              </w:rPr>
            </w:pPr>
            <w:r w:rsidRPr="00B238CD">
              <w:rPr>
                <w:rFonts w:ascii="Times New Roman" w:eastAsia="Times New Roman" w:hAnsi="Times New Roman" w:cs="Times New Roman"/>
                <w:b/>
                <w:bCs/>
                <w:sz w:val="24"/>
                <w:szCs w:val="24"/>
                <w:lang w:eastAsia="lv-LV"/>
              </w:rPr>
              <w:t>Gads</w:t>
            </w:r>
          </w:p>
        </w:tc>
        <w:tc>
          <w:tcPr>
            <w:tcW w:w="0" w:type="auto"/>
            <w:shd w:val="clear" w:color="auto" w:fill="4C94D8" w:themeFill="text2" w:themeFillTint="80"/>
            <w:hideMark/>
          </w:tcPr>
          <w:p w14:paraId="4CBCA69C" w14:textId="77777777" w:rsidR="00B238CD" w:rsidRPr="00B238CD" w:rsidRDefault="00B238CD" w:rsidP="00B238CD">
            <w:pPr>
              <w:spacing w:line="240" w:lineRule="auto"/>
              <w:jc w:val="right"/>
              <w:rPr>
                <w:rFonts w:ascii="Times New Roman" w:eastAsia="Times New Roman" w:hAnsi="Times New Roman" w:cs="Times New Roman"/>
                <w:b/>
                <w:bCs/>
                <w:sz w:val="24"/>
                <w:szCs w:val="24"/>
                <w:lang w:eastAsia="lv-LV"/>
              </w:rPr>
            </w:pPr>
            <w:r w:rsidRPr="00B238CD">
              <w:rPr>
                <w:rFonts w:ascii="Times New Roman" w:eastAsia="Times New Roman" w:hAnsi="Times New Roman" w:cs="Times New Roman"/>
                <w:b/>
                <w:bCs/>
                <w:sz w:val="24"/>
                <w:szCs w:val="24"/>
                <w:lang w:eastAsia="lv-LV"/>
              </w:rPr>
              <w:t>Ieņēmumi no azartspēlēm, milj. EUR</w:t>
            </w:r>
          </w:p>
        </w:tc>
        <w:tc>
          <w:tcPr>
            <w:tcW w:w="0" w:type="auto"/>
            <w:shd w:val="clear" w:color="auto" w:fill="4C94D8" w:themeFill="text2" w:themeFillTint="80"/>
            <w:hideMark/>
          </w:tcPr>
          <w:p w14:paraId="7C509D56" w14:textId="77777777" w:rsidR="00B238CD" w:rsidRPr="00B238CD" w:rsidRDefault="00B238CD" w:rsidP="00B238CD">
            <w:pPr>
              <w:spacing w:line="240" w:lineRule="auto"/>
              <w:jc w:val="right"/>
              <w:rPr>
                <w:rFonts w:ascii="Times New Roman" w:eastAsia="Times New Roman" w:hAnsi="Times New Roman" w:cs="Times New Roman"/>
                <w:b/>
                <w:bCs/>
                <w:sz w:val="24"/>
                <w:szCs w:val="24"/>
                <w:lang w:eastAsia="lv-LV"/>
              </w:rPr>
            </w:pPr>
            <w:r w:rsidRPr="00B238CD">
              <w:rPr>
                <w:rFonts w:ascii="Times New Roman" w:eastAsia="Times New Roman" w:hAnsi="Times New Roman" w:cs="Times New Roman"/>
                <w:b/>
                <w:bCs/>
                <w:sz w:val="24"/>
                <w:szCs w:val="24"/>
                <w:lang w:eastAsia="lv-LV"/>
              </w:rPr>
              <w:t>Izmaiņas pret iepriekšējo gadu</w:t>
            </w:r>
          </w:p>
        </w:tc>
        <w:tc>
          <w:tcPr>
            <w:tcW w:w="0" w:type="auto"/>
            <w:shd w:val="clear" w:color="auto" w:fill="4C94D8" w:themeFill="text2" w:themeFillTint="80"/>
            <w:hideMark/>
          </w:tcPr>
          <w:p w14:paraId="3BB0F74F" w14:textId="77777777" w:rsidR="00B238CD" w:rsidRPr="00B238CD" w:rsidRDefault="00B238CD" w:rsidP="00B238CD">
            <w:pPr>
              <w:spacing w:line="240" w:lineRule="auto"/>
              <w:jc w:val="right"/>
              <w:rPr>
                <w:rFonts w:ascii="Times New Roman" w:eastAsia="Times New Roman" w:hAnsi="Times New Roman" w:cs="Times New Roman"/>
                <w:b/>
                <w:bCs/>
                <w:sz w:val="24"/>
                <w:szCs w:val="24"/>
                <w:lang w:eastAsia="lv-LV"/>
              </w:rPr>
            </w:pPr>
            <w:r w:rsidRPr="00B238CD">
              <w:rPr>
                <w:rFonts w:ascii="Times New Roman" w:eastAsia="Times New Roman" w:hAnsi="Times New Roman" w:cs="Times New Roman"/>
                <w:b/>
                <w:bCs/>
                <w:sz w:val="24"/>
                <w:szCs w:val="24"/>
                <w:lang w:eastAsia="lv-LV"/>
              </w:rPr>
              <w:t>Interaktīvo azartspēļu ieņēmumi, milj. EUR</w:t>
            </w:r>
          </w:p>
        </w:tc>
        <w:tc>
          <w:tcPr>
            <w:tcW w:w="0" w:type="auto"/>
            <w:shd w:val="clear" w:color="auto" w:fill="4C94D8" w:themeFill="text2" w:themeFillTint="80"/>
            <w:hideMark/>
          </w:tcPr>
          <w:p w14:paraId="0F0C7056" w14:textId="77777777" w:rsidR="00B238CD" w:rsidRPr="00B238CD" w:rsidRDefault="00B238CD" w:rsidP="00B238CD">
            <w:pPr>
              <w:spacing w:line="240" w:lineRule="auto"/>
              <w:jc w:val="right"/>
              <w:rPr>
                <w:rFonts w:ascii="Times New Roman" w:eastAsia="Times New Roman" w:hAnsi="Times New Roman" w:cs="Times New Roman"/>
                <w:b/>
                <w:bCs/>
                <w:sz w:val="24"/>
                <w:szCs w:val="24"/>
                <w:lang w:eastAsia="lv-LV"/>
              </w:rPr>
            </w:pPr>
            <w:r w:rsidRPr="00B238CD">
              <w:rPr>
                <w:rFonts w:ascii="Times New Roman" w:eastAsia="Times New Roman" w:hAnsi="Times New Roman" w:cs="Times New Roman"/>
                <w:b/>
                <w:bCs/>
                <w:sz w:val="24"/>
                <w:szCs w:val="24"/>
                <w:lang w:eastAsia="lv-LV"/>
              </w:rPr>
              <w:t>Izmaiņas pret iepriekšējo gadu</w:t>
            </w:r>
          </w:p>
        </w:tc>
      </w:tr>
      <w:tr w:rsidR="00B238CD" w:rsidRPr="00B238CD" w14:paraId="14B0A82D" w14:textId="77777777" w:rsidTr="00B238CD">
        <w:trPr>
          <w:jc w:val="center"/>
        </w:trPr>
        <w:tc>
          <w:tcPr>
            <w:tcW w:w="0" w:type="auto"/>
            <w:hideMark/>
          </w:tcPr>
          <w:p w14:paraId="518A573A" w14:textId="77777777" w:rsidR="00B238CD" w:rsidRPr="00B238CD" w:rsidRDefault="00B238CD" w:rsidP="00B238CD">
            <w:pPr>
              <w:spacing w:line="240" w:lineRule="auto"/>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2023</w:t>
            </w:r>
          </w:p>
        </w:tc>
        <w:tc>
          <w:tcPr>
            <w:tcW w:w="0" w:type="auto"/>
            <w:hideMark/>
          </w:tcPr>
          <w:p w14:paraId="43413259"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288,633</w:t>
            </w:r>
          </w:p>
        </w:tc>
        <w:tc>
          <w:tcPr>
            <w:tcW w:w="0" w:type="auto"/>
            <w:hideMark/>
          </w:tcPr>
          <w:p w14:paraId="373557D9"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+9,0%</w:t>
            </w:r>
          </w:p>
        </w:tc>
        <w:tc>
          <w:tcPr>
            <w:tcW w:w="0" w:type="auto"/>
            <w:hideMark/>
          </w:tcPr>
          <w:p w14:paraId="1477FFAB"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136,786</w:t>
            </w:r>
          </w:p>
        </w:tc>
        <w:tc>
          <w:tcPr>
            <w:tcW w:w="0" w:type="auto"/>
            <w:hideMark/>
          </w:tcPr>
          <w:p w14:paraId="5A9802CF"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+10,3%</w:t>
            </w:r>
          </w:p>
        </w:tc>
      </w:tr>
      <w:tr w:rsidR="00B238CD" w:rsidRPr="00B238CD" w14:paraId="45FBB96C" w14:textId="77777777" w:rsidTr="00B238CD">
        <w:trPr>
          <w:jc w:val="center"/>
        </w:trPr>
        <w:tc>
          <w:tcPr>
            <w:tcW w:w="0" w:type="auto"/>
            <w:hideMark/>
          </w:tcPr>
          <w:p w14:paraId="58308C2E" w14:textId="77777777" w:rsidR="00B238CD" w:rsidRPr="00B238CD" w:rsidRDefault="00B238CD" w:rsidP="00B238CD">
            <w:pPr>
              <w:spacing w:line="240" w:lineRule="auto"/>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2024</w:t>
            </w:r>
          </w:p>
        </w:tc>
        <w:tc>
          <w:tcPr>
            <w:tcW w:w="0" w:type="auto"/>
            <w:hideMark/>
          </w:tcPr>
          <w:p w14:paraId="597EA5A3"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299,444</w:t>
            </w:r>
          </w:p>
        </w:tc>
        <w:tc>
          <w:tcPr>
            <w:tcW w:w="0" w:type="auto"/>
            <w:hideMark/>
          </w:tcPr>
          <w:p w14:paraId="6AA551C1"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+3,7%</w:t>
            </w:r>
          </w:p>
        </w:tc>
        <w:tc>
          <w:tcPr>
            <w:tcW w:w="0" w:type="auto"/>
            <w:hideMark/>
          </w:tcPr>
          <w:p w14:paraId="633E3666"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153,911</w:t>
            </w:r>
          </w:p>
        </w:tc>
        <w:tc>
          <w:tcPr>
            <w:tcW w:w="0" w:type="auto"/>
            <w:hideMark/>
          </w:tcPr>
          <w:p w14:paraId="64B9C65D"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+12,5%</w:t>
            </w:r>
          </w:p>
        </w:tc>
      </w:tr>
      <w:tr w:rsidR="00B238CD" w:rsidRPr="00B238CD" w14:paraId="76ABFAB9" w14:textId="77777777" w:rsidTr="00B238CD">
        <w:trPr>
          <w:jc w:val="center"/>
        </w:trPr>
        <w:tc>
          <w:tcPr>
            <w:tcW w:w="0" w:type="auto"/>
            <w:hideMark/>
          </w:tcPr>
          <w:p w14:paraId="650543B1" w14:textId="77777777" w:rsidR="00B238CD" w:rsidRPr="00B238CD" w:rsidRDefault="00B238CD" w:rsidP="00B238CD">
            <w:pPr>
              <w:spacing w:line="240" w:lineRule="auto"/>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2025</w:t>
            </w:r>
          </w:p>
        </w:tc>
        <w:tc>
          <w:tcPr>
            <w:tcW w:w="0" w:type="auto"/>
            <w:hideMark/>
          </w:tcPr>
          <w:p w14:paraId="1602C6E1"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299,579</w:t>
            </w:r>
          </w:p>
        </w:tc>
        <w:tc>
          <w:tcPr>
            <w:tcW w:w="0" w:type="auto"/>
            <w:hideMark/>
          </w:tcPr>
          <w:p w14:paraId="03945698"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+0,05%</w:t>
            </w:r>
          </w:p>
        </w:tc>
        <w:tc>
          <w:tcPr>
            <w:tcW w:w="0" w:type="auto"/>
            <w:hideMark/>
          </w:tcPr>
          <w:p w14:paraId="6CCAC92D"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170,655</w:t>
            </w:r>
          </w:p>
        </w:tc>
        <w:tc>
          <w:tcPr>
            <w:tcW w:w="0" w:type="auto"/>
            <w:hideMark/>
          </w:tcPr>
          <w:p w14:paraId="3A94B9E3" w14:textId="77777777" w:rsidR="00B238CD" w:rsidRPr="00B238CD" w:rsidRDefault="00B238CD" w:rsidP="00B238CD">
            <w:pPr>
              <w:spacing w:line="240" w:lineRule="auto"/>
              <w:jc w:val="right"/>
              <w:rPr>
                <w:rFonts w:ascii="Times New Roman" w:eastAsia="Times New Roman" w:hAnsi="Times New Roman" w:cs="Times New Roman"/>
                <w:sz w:val="24"/>
                <w:szCs w:val="24"/>
                <w:lang w:eastAsia="lv-LV"/>
              </w:rPr>
            </w:pPr>
            <w:r w:rsidRPr="00B238CD">
              <w:rPr>
                <w:rFonts w:ascii="Times New Roman" w:eastAsia="Times New Roman" w:hAnsi="Times New Roman" w:cs="Times New Roman"/>
                <w:sz w:val="24"/>
                <w:szCs w:val="24"/>
                <w:lang w:eastAsia="lv-LV"/>
              </w:rPr>
              <w:t>+10,9%</w:t>
            </w:r>
          </w:p>
        </w:tc>
      </w:tr>
    </w:tbl>
    <w:p w14:paraId="0A3B28E2" w14:textId="77777777" w:rsidR="00B238CD" w:rsidRPr="0073373A" w:rsidRDefault="00B238CD" w:rsidP="00DA2277">
      <w:pPr>
        <w:spacing w:line="240" w:lineRule="auto"/>
        <w:ind w:left="142"/>
        <w:jc w:val="both"/>
        <w:rPr>
          <w:rFonts w:ascii="Times New Roman" w:hAnsi="Times New Roman" w:cs="Times New Roman"/>
          <w:sz w:val="24"/>
          <w:szCs w:val="24"/>
        </w:rPr>
      </w:pPr>
    </w:p>
    <w:p w14:paraId="4B79C5AE" w14:textId="0974EC64" w:rsidR="00DA2277" w:rsidRDefault="00DA2277" w:rsidP="00DA2277">
      <w:pPr>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No NILLTPF risku perspektīvas nozares digitalizācija kopumā tiek vērtēta pozitīvi, jo nodrošina augstāku darījumu izsekojamību un efektīvāku kontroles pasākumu piemērošanu.</w:t>
      </w:r>
    </w:p>
    <w:p w14:paraId="7D4DF5F2" w14:textId="77777777" w:rsidR="002376D9" w:rsidRDefault="002376D9" w:rsidP="00DA2277">
      <w:pPr>
        <w:spacing w:line="240" w:lineRule="auto"/>
        <w:ind w:left="142"/>
        <w:jc w:val="both"/>
        <w:rPr>
          <w:rFonts w:ascii="Times New Roman" w:hAnsi="Times New Roman" w:cs="Times New Roman"/>
          <w:sz w:val="24"/>
          <w:szCs w:val="24"/>
        </w:rPr>
      </w:pPr>
    </w:p>
    <w:p w14:paraId="059B9371" w14:textId="77777777" w:rsidR="002376D9" w:rsidRPr="0073373A" w:rsidRDefault="002376D9" w:rsidP="00DA2277">
      <w:pPr>
        <w:spacing w:line="240" w:lineRule="auto"/>
        <w:ind w:left="142"/>
        <w:jc w:val="both"/>
        <w:rPr>
          <w:rFonts w:ascii="Times New Roman" w:hAnsi="Times New Roman" w:cs="Times New Roman"/>
          <w:sz w:val="24"/>
          <w:szCs w:val="24"/>
        </w:rPr>
      </w:pPr>
    </w:p>
    <w:p w14:paraId="4E4E0863" w14:textId="565A15F8" w:rsidR="00DA2277" w:rsidRPr="0073373A" w:rsidRDefault="00DA2277" w:rsidP="00DA2277">
      <w:pPr>
        <w:pStyle w:val="ListParagraph"/>
        <w:numPr>
          <w:ilvl w:val="0"/>
          <w:numId w:val="1"/>
        </w:numPr>
        <w:spacing w:line="240" w:lineRule="auto"/>
        <w:ind w:left="142" w:hanging="425"/>
        <w:contextualSpacing w:val="0"/>
        <w:jc w:val="both"/>
        <w:rPr>
          <w:rFonts w:ascii="Times New Roman" w:hAnsi="Times New Roman" w:cs="Times New Roman"/>
          <w:sz w:val="24"/>
          <w:szCs w:val="24"/>
        </w:rPr>
      </w:pPr>
      <w:r w:rsidRPr="0073373A">
        <w:rPr>
          <w:rFonts w:ascii="Times New Roman" w:hAnsi="Times New Roman" w:cs="Times New Roman"/>
          <w:sz w:val="24"/>
          <w:szCs w:val="24"/>
        </w:rPr>
        <w:lastRenderedPageBreak/>
        <w:t>Sektora dalībnieku raksturojums</w:t>
      </w:r>
    </w:p>
    <w:p w14:paraId="6A7417F2" w14:textId="56AA90F0" w:rsidR="009F708D" w:rsidRPr="0073373A" w:rsidRDefault="009F708D" w:rsidP="00C37E1F">
      <w:pPr>
        <w:pStyle w:val="NormalWeb"/>
        <w:ind w:left="142"/>
        <w:jc w:val="both"/>
      </w:pPr>
      <w:bookmarkStart w:id="0" w:name="_Hlk238191941"/>
      <w:r w:rsidRPr="0073373A">
        <w:t>Visi azartspēļu organizētāji ir licencēti saskaņā ar Azartspēļu un izložu likuma prasībām. Organizēšanas licence tiek izsniegta uz nenoteiktu laiku, taču tā katru gadu ir jāpārreģistrē Izložu un azartspēļu uzraudzības inspekcijā (IAUI), kas nodrošina regulāru atbilstības izvērtēšanu.</w:t>
      </w:r>
      <w:bookmarkEnd w:id="0"/>
      <w:r w:rsidR="00F74F60" w:rsidRPr="0073373A">
        <w:t xml:space="preserve"> </w:t>
      </w:r>
    </w:p>
    <w:p w14:paraId="02C783C6" w14:textId="595305CE" w:rsidR="009F708D" w:rsidRPr="0073373A" w:rsidRDefault="009F708D" w:rsidP="00C37E1F">
      <w:pPr>
        <w:pStyle w:val="NormalWeb"/>
        <w:ind w:left="142"/>
        <w:jc w:val="both"/>
      </w:pPr>
      <w:r w:rsidRPr="0073373A">
        <w:t xml:space="preserve">Uz 2025. gada 31. decembri sektorā darbojās 20 licencēti azartspēļu organizētāji. No tiem 6 </w:t>
      </w:r>
      <w:r w:rsidR="00F0014E" w:rsidRPr="0073373A">
        <w:t>O</w:t>
      </w:r>
      <w:r w:rsidRPr="0073373A">
        <w:t xml:space="preserve">rganizētāji </w:t>
      </w:r>
      <w:r w:rsidR="00F0014E" w:rsidRPr="0073373A">
        <w:t>rīko</w:t>
      </w:r>
      <w:r w:rsidRPr="0073373A">
        <w:t xml:space="preserve"> klātienes azartspē</w:t>
      </w:r>
      <w:r w:rsidR="00F0014E" w:rsidRPr="0073373A">
        <w:t>les</w:t>
      </w:r>
      <w:r w:rsidRPr="0073373A">
        <w:t>, savukārt 1</w:t>
      </w:r>
      <w:r w:rsidR="000970ED" w:rsidRPr="0073373A">
        <w:t>7</w:t>
      </w:r>
      <w:r w:rsidRPr="0073373A">
        <w:t xml:space="preserve"> </w:t>
      </w:r>
      <w:r w:rsidR="002B6B59" w:rsidRPr="0073373A">
        <w:t>organizē interaktīvās azartspēles</w:t>
      </w:r>
      <w:r w:rsidR="003C5740" w:rsidRPr="0073373A">
        <w:t xml:space="preserve">. </w:t>
      </w:r>
      <w:r w:rsidRPr="0073373A">
        <w:t>Organizētāj</w:t>
      </w:r>
      <w:r w:rsidR="00C22405" w:rsidRPr="0073373A">
        <w:t>s</w:t>
      </w:r>
      <w:r w:rsidRPr="0073373A">
        <w:t xml:space="preserve"> var vienlaikus </w:t>
      </w:r>
      <w:r w:rsidR="00C22405" w:rsidRPr="0073373A">
        <w:t>rīkot</w:t>
      </w:r>
      <w:r w:rsidRPr="0073373A">
        <w:t xml:space="preserve"> gan klātienes, gan interaktīv</w:t>
      </w:r>
      <w:r w:rsidR="00C22405" w:rsidRPr="0073373A">
        <w:t>a</w:t>
      </w:r>
      <w:r w:rsidRPr="0073373A">
        <w:t xml:space="preserve">s </w:t>
      </w:r>
      <w:r w:rsidR="00C22405" w:rsidRPr="0073373A">
        <w:t>azartspēles</w:t>
      </w:r>
      <w:r w:rsidRPr="0073373A">
        <w:t>, tādēļ segmentu darbība daļēji pārklājas.</w:t>
      </w:r>
    </w:p>
    <w:p w14:paraId="6A8E0D54" w14:textId="54204C33" w:rsidR="00E62647" w:rsidRPr="00E62647" w:rsidRDefault="00E62647" w:rsidP="00E62647">
      <w:pPr>
        <w:spacing w:after="0" w:line="240" w:lineRule="auto"/>
        <w:jc w:val="center"/>
        <w:rPr>
          <w:rFonts w:ascii="Times New Roman" w:eastAsia="Times New Roman" w:hAnsi="Times New Roman" w:cs="Times New Roman"/>
          <w:b/>
          <w:bCs/>
          <w:sz w:val="26"/>
          <w:szCs w:val="26"/>
          <w:lang w:eastAsia="lv-LV"/>
        </w:rPr>
      </w:pPr>
      <w:r w:rsidRPr="0073373A">
        <w:rPr>
          <w:rFonts w:ascii="Times New Roman" w:eastAsia="Times New Roman" w:hAnsi="Times New Roman" w:cs="Times New Roman"/>
          <w:b/>
          <w:bCs/>
          <w:sz w:val="26"/>
          <w:szCs w:val="26"/>
          <w:lang w:eastAsia="lv-LV"/>
        </w:rPr>
        <w:t>U</w:t>
      </w:r>
      <w:r w:rsidRPr="00E62647">
        <w:rPr>
          <w:rFonts w:ascii="Times New Roman" w:eastAsia="Times New Roman" w:hAnsi="Times New Roman" w:cs="Times New Roman"/>
          <w:b/>
          <w:bCs/>
          <w:sz w:val="26"/>
          <w:szCs w:val="26"/>
          <w:lang w:eastAsia="lv-LV"/>
        </w:rPr>
        <w:t xml:space="preserve">zraugāmo </w:t>
      </w:r>
      <w:r w:rsidRPr="0073373A">
        <w:rPr>
          <w:rFonts w:ascii="Times New Roman" w:eastAsia="Times New Roman" w:hAnsi="Times New Roman" w:cs="Times New Roman"/>
          <w:b/>
          <w:bCs/>
          <w:sz w:val="26"/>
          <w:szCs w:val="26"/>
          <w:lang w:eastAsia="lv-LV"/>
        </w:rPr>
        <w:t>azartspēļu un izložu</w:t>
      </w:r>
      <w:r w:rsidRPr="00E62647">
        <w:rPr>
          <w:rFonts w:ascii="Times New Roman" w:eastAsia="Times New Roman" w:hAnsi="Times New Roman" w:cs="Times New Roman"/>
          <w:b/>
          <w:bCs/>
          <w:sz w:val="26"/>
          <w:szCs w:val="26"/>
          <w:lang w:eastAsia="lv-LV"/>
        </w:rPr>
        <w:t xml:space="preserve"> pakalpojumu sniedzēju skaits</w:t>
      </w: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418"/>
        <w:gridCol w:w="1701"/>
        <w:gridCol w:w="1701"/>
      </w:tblGrid>
      <w:tr w:rsidR="00E62647" w:rsidRPr="0073373A" w14:paraId="7E51FADB" w14:textId="77777777" w:rsidTr="00E62647">
        <w:trPr>
          <w:trHeight w:val="315"/>
          <w:jc w:val="center"/>
        </w:trPr>
        <w:tc>
          <w:tcPr>
            <w:tcW w:w="2693" w:type="dxa"/>
            <w:tcBorders>
              <w:top w:val="single" w:sz="4" w:space="0" w:color="auto"/>
              <w:left w:val="single" w:sz="4" w:space="0" w:color="auto"/>
              <w:bottom w:val="single" w:sz="4" w:space="0" w:color="auto"/>
              <w:right w:val="single" w:sz="4" w:space="0" w:color="auto"/>
            </w:tcBorders>
            <w:shd w:val="clear" w:color="auto" w:fill="4C94D8" w:themeFill="text2" w:themeFillTint="80"/>
          </w:tcPr>
          <w:p w14:paraId="66A24D9E" w14:textId="77777777" w:rsidR="00E62647" w:rsidRPr="00E62647" w:rsidRDefault="00E62647" w:rsidP="00E62647">
            <w:pPr>
              <w:spacing w:after="0" w:line="240" w:lineRule="auto"/>
              <w:jc w:val="both"/>
              <w:rPr>
                <w:rFonts w:ascii="Times New Roman" w:eastAsia="Verdana"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7B889B22" w14:textId="4840ACE3" w:rsidR="00E62647" w:rsidRPr="00E62647" w:rsidRDefault="00E62647" w:rsidP="00E62647">
            <w:pPr>
              <w:spacing w:after="0" w:line="240" w:lineRule="auto"/>
              <w:jc w:val="center"/>
              <w:rPr>
                <w:rFonts w:ascii="Times New Roman" w:eastAsia="Verdana" w:hAnsi="Times New Roman" w:cs="Times New Roman"/>
                <w:b/>
                <w:bCs/>
                <w:sz w:val="24"/>
                <w:szCs w:val="24"/>
              </w:rPr>
            </w:pPr>
            <w:r w:rsidRPr="00E62647">
              <w:rPr>
                <w:rFonts w:ascii="Times New Roman" w:eastAsia="Verdana" w:hAnsi="Times New Roman" w:cs="Times New Roman"/>
                <w:b/>
                <w:bCs/>
                <w:sz w:val="24"/>
                <w:szCs w:val="24"/>
              </w:rPr>
              <w:t>20</w:t>
            </w:r>
            <w:r w:rsidRPr="0073373A">
              <w:rPr>
                <w:rFonts w:ascii="Times New Roman" w:eastAsia="Verdana" w:hAnsi="Times New Roman" w:cs="Times New Roman"/>
                <w:b/>
                <w:bCs/>
                <w:sz w:val="24"/>
                <w:szCs w:val="24"/>
              </w:rPr>
              <w:t>23</w:t>
            </w:r>
            <w:r w:rsidRPr="00E62647">
              <w:rPr>
                <w:rFonts w:ascii="Times New Roman" w:eastAsia="Verdana" w:hAnsi="Times New Roman" w:cs="Times New Roman"/>
                <w:b/>
                <w:bCs/>
                <w:sz w:val="24"/>
                <w:szCs w:val="24"/>
              </w:rPr>
              <w:t>. gads</w:t>
            </w:r>
          </w:p>
        </w:tc>
        <w:tc>
          <w:tcPr>
            <w:tcW w:w="1701" w:type="dxa"/>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42B46767" w14:textId="6A6E9EB7" w:rsidR="00E62647" w:rsidRPr="00E62647" w:rsidRDefault="00E62647" w:rsidP="00E62647">
            <w:pPr>
              <w:spacing w:after="0" w:line="240" w:lineRule="auto"/>
              <w:jc w:val="center"/>
              <w:rPr>
                <w:rFonts w:ascii="Times New Roman" w:eastAsia="Verdana" w:hAnsi="Times New Roman" w:cs="Times New Roman"/>
                <w:b/>
                <w:bCs/>
                <w:sz w:val="24"/>
                <w:szCs w:val="24"/>
              </w:rPr>
            </w:pPr>
            <w:r w:rsidRPr="00E62647">
              <w:rPr>
                <w:rFonts w:ascii="Times New Roman" w:eastAsia="Verdana" w:hAnsi="Times New Roman" w:cs="Times New Roman"/>
                <w:b/>
                <w:bCs/>
                <w:sz w:val="24"/>
                <w:szCs w:val="24"/>
              </w:rPr>
              <w:t>20</w:t>
            </w:r>
            <w:r w:rsidRPr="0073373A">
              <w:rPr>
                <w:rFonts w:ascii="Times New Roman" w:eastAsia="Verdana" w:hAnsi="Times New Roman" w:cs="Times New Roman"/>
                <w:b/>
                <w:bCs/>
                <w:sz w:val="24"/>
                <w:szCs w:val="24"/>
              </w:rPr>
              <w:t>24</w:t>
            </w:r>
            <w:r w:rsidRPr="00E62647">
              <w:rPr>
                <w:rFonts w:ascii="Times New Roman" w:eastAsia="Verdana" w:hAnsi="Times New Roman" w:cs="Times New Roman"/>
                <w:b/>
                <w:bCs/>
                <w:sz w:val="24"/>
                <w:szCs w:val="24"/>
              </w:rPr>
              <w:t>. gads</w:t>
            </w:r>
          </w:p>
        </w:tc>
        <w:tc>
          <w:tcPr>
            <w:tcW w:w="1701" w:type="dxa"/>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1DEFC498" w14:textId="14F4258B" w:rsidR="00E62647" w:rsidRPr="00E62647" w:rsidRDefault="00E62647" w:rsidP="00E62647">
            <w:pPr>
              <w:spacing w:after="0" w:line="240" w:lineRule="auto"/>
              <w:jc w:val="center"/>
              <w:rPr>
                <w:rFonts w:ascii="Times New Roman" w:eastAsia="Verdana" w:hAnsi="Times New Roman" w:cs="Times New Roman"/>
                <w:b/>
                <w:bCs/>
                <w:sz w:val="24"/>
                <w:szCs w:val="24"/>
              </w:rPr>
            </w:pPr>
            <w:r w:rsidRPr="00E62647">
              <w:rPr>
                <w:rFonts w:ascii="Times New Roman" w:eastAsia="Verdana" w:hAnsi="Times New Roman" w:cs="Times New Roman"/>
                <w:b/>
                <w:bCs/>
                <w:sz w:val="24"/>
                <w:szCs w:val="24"/>
              </w:rPr>
              <w:t>202</w:t>
            </w:r>
            <w:r w:rsidRPr="0073373A">
              <w:rPr>
                <w:rFonts w:ascii="Times New Roman" w:eastAsia="Verdana" w:hAnsi="Times New Roman" w:cs="Times New Roman"/>
                <w:b/>
                <w:bCs/>
                <w:sz w:val="24"/>
                <w:szCs w:val="24"/>
              </w:rPr>
              <w:t>5</w:t>
            </w:r>
            <w:r w:rsidRPr="00E62647">
              <w:rPr>
                <w:rFonts w:ascii="Times New Roman" w:eastAsia="Verdana" w:hAnsi="Times New Roman" w:cs="Times New Roman"/>
                <w:b/>
                <w:bCs/>
                <w:sz w:val="24"/>
                <w:szCs w:val="24"/>
              </w:rPr>
              <w:t>. gads</w:t>
            </w:r>
          </w:p>
        </w:tc>
      </w:tr>
      <w:tr w:rsidR="00E62647" w:rsidRPr="0073373A" w14:paraId="78EB6CB4" w14:textId="77777777" w:rsidTr="00E62647">
        <w:trPr>
          <w:trHeight w:val="135"/>
          <w:jc w:val="center"/>
        </w:trPr>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2A119D18" w14:textId="4EEF6E21" w:rsidR="00E62647" w:rsidRPr="00E62647" w:rsidRDefault="00E62647" w:rsidP="00E62647">
            <w:pPr>
              <w:spacing w:after="0" w:line="240" w:lineRule="auto"/>
              <w:rPr>
                <w:rFonts w:ascii="Times New Roman" w:eastAsia="Verdana" w:hAnsi="Times New Roman" w:cs="Times New Roman"/>
                <w:sz w:val="24"/>
                <w:szCs w:val="24"/>
              </w:rPr>
            </w:pPr>
            <w:r w:rsidRPr="0073373A">
              <w:rPr>
                <w:rFonts w:ascii="Times New Roman" w:eastAsia="Verdana" w:hAnsi="Times New Roman" w:cs="Times New Roman"/>
                <w:sz w:val="24"/>
                <w:szCs w:val="24"/>
              </w:rPr>
              <w:t>Azartspēļu un izložu organizētāji</w:t>
            </w:r>
            <w:r w:rsidRPr="00E62647">
              <w:rPr>
                <w:rFonts w:ascii="Times New Roman" w:eastAsia="Verdana" w:hAnsi="Times New Roman" w:cs="Times New Roman"/>
                <w:sz w:val="24"/>
                <w:szCs w:val="24"/>
              </w:rPr>
              <w:t xml:space="preserve"> (skaits)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46D2D" w14:textId="61E15EEA" w:rsidR="00E62647" w:rsidRPr="00E62647" w:rsidRDefault="003F7FC5" w:rsidP="00E62647">
            <w:pPr>
              <w:spacing w:after="0" w:line="240" w:lineRule="auto"/>
              <w:jc w:val="center"/>
              <w:rPr>
                <w:rFonts w:ascii="Times New Roman" w:eastAsia="Verdana" w:hAnsi="Times New Roman" w:cs="Times New Roman"/>
                <w:sz w:val="24"/>
                <w:szCs w:val="24"/>
              </w:rPr>
            </w:pPr>
            <w:r w:rsidRPr="0073373A">
              <w:rPr>
                <w:rFonts w:ascii="Times New Roman" w:eastAsia="Verdana" w:hAnsi="Times New Roman" w:cs="Times New Roman"/>
                <w:sz w:val="24"/>
                <w:szCs w:val="24"/>
              </w:rPr>
              <w:t>19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D0775" w14:textId="707A5EBD" w:rsidR="00E62647" w:rsidRPr="00E62647" w:rsidRDefault="00E62647" w:rsidP="00E62647">
            <w:pPr>
              <w:spacing w:after="0" w:line="240" w:lineRule="auto"/>
              <w:jc w:val="center"/>
              <w:rPr>
                <w:rFonts w:ascii="Times New Roman" w:eastAsia="Verdana" w:hAnsi="Times New Roman" w:cs="Times New Roman"/>
                <w:sz w:val="24"/>
                <w:szCs w:val="24"/>
              </w:rPr>
            </w:pPr>
            <w:r w:rsidRPr="0073373A">
              <w:rPr>
                <w:rFonts w:ascii="Times New Roman" w:eastAsia="Times New Roman" w:hAnsi="Times New Roman" w:cs="Times New Roman"/>
                <w:color w:val="000000"/>
                <w:sz w:val="24"/>
                <w:szCs w:val="24"/>
                <w:lang w:eastAsia="lv-LV"/>
              </w:rPr>
              <w:t>19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3B825" w14:textId="4AB5B83A" w:rsidR="00E62647" w:rsidRPr="00E62647" w:rsidRDefault="00E62647" w:rsidP="00E62647">
            <w:pPr>
              <w:spacing w:after="0" w:line="240" w:lineRule="auto"/>
              <w:jc w:val="center"/>
              <w:rPr>
                <w:rFonts w:ascii="Times New Roman" w:eastAsia="Verdana" w:hAnsi="Times New Roman" w:cs="Times New Roman"/>
                <w:sz w:val="24"/>
                <w:szCs w:val="24"/>
              </w:rPr>
            </w:pPr>
            <w:r w:rsidRPr="0073373A">
              <w:rPr>
                <w:rFonts w:ascii="Times New Roman" w:eastAsia="Times New Roman" w:hAnsi="Times New Roman" w:cs="Times New Roman"/>
                <w:color w:val="000000"/>
                <w:sz w:val="24"/>
                <w:szCs w:val="24"/>
                <w:lang w:eastAsia="lv-LV"/>
              </w:rPr>
              <w:t>20</w:t>
            </w:r>
          </w:p>
        </w:tc>
      </w:tr>
    </w:tbl>
    <w:p w14:paraId="7806A756" w14:textId="4B02ED30" w:rsidR="009F708D" w:rsidRPr="0073373A" w:rsidRDefault="009F708D" w:rsidP="00C37E1F">
      <w:pPr>
        <w:pStyle w:val="NormalWeb"/>
        <w:ind w:left="142"/>
        <w:jc w:val="both"/>
      </w:pPr>
      <w:r w:rsidRPr="0073373A">
        <w:t xml:space="preserve">Pārskata periodā sektorā kopumā bija nodarbinātas </w:t>
      </w:r>
      <w:r w:rsidR="003010B4" w:rsidRPr="0073373A">
        <w:rPr>
          <w:rStyle w:val="Strong"/>
          <w:rFonts w:eastAsiaTheme="majorEastAsia"/>
          <w:b w:val="0"/>
          <w:bCs w:val="0"/>
        </w:rPr>
        <w:t>2682</w:t>
      </w:r>
      <w:r w:rsidRPr="0073373A">
        <w:t xml:space="preserve"> personas. Klātienes segmentā nodarbināto skaits </w:t>
      </w:r>
      <w:r w:rsidR="00FC78BD" w:rsidRPr="0073373A">
        <w:t>ir cieši saistīts ar spēļu zāļu un totalizatora punktu skaitu</w:t>
      </w:r>
      <w:r w:rsidRPr="0073373A">
        <w:t>, savukārt interaktīvajā segmentā pakalpojumu sniegšana lielākoties balstās</w:t>
      </w:r>
      <w:r w:rsidR="002376D9">
        <w:t xml:space="preserve"> </w:t>
      </w:r>
      <w:r w:rsidRPr="0073373A">
        <w:t>uz centralizētām tehnoloģiskām platformām un automatizētiem uzraudzības risinājumiem.</w:t>
      </w:r>
      <w:r w:rsidR="00CB3D2F" w:rsidRPr="0073373A">
        <w:t xml:space="preserve"> </w:t>
      </w:r>
    </w:p>
    <w:p w14:paraId="42AF0849" w14:textId="341EABA5" w:rsidR="00EE3000" w:rsidRPr="0073373A" w:rsidRDefault="00EE3000" w:rsidP="00C37E1F">
      <w:pPr>
        <w:pStyle w:val="ListParagraph"/>
        <w:numPr>
          <w:ilvl w:val="0"/>
          <w:numId w:val="1"/>
        </w:numPr>
        <w:spacing w:line="240" w:lineRule="auto"/>
        <w:ind w:left="142" w:hanging="425"/>
        <w:contextualSpacing w:val="0"/>
        <w:jc w:val="both"/>
        <w:rPr>
          <w:rFonts w:ascii="Times New Roman" w:hAnsi="Times New Roman" w:cs="Times New Roman"/>
          <w:sz w:val="24"/>
          <w:szCs w:val="24"/>
        </w:rPr>
      </w:pPr>
      <w:r w:rsidRPr="0073373A">
        <w:rPr>
          <w:rFonts w:ascii="Times New Roman" w:hAnsi="Times New Roman" w:cs="Times New Roman"/>
          <w:sz w:val="24"/>
          <w:szCs w:val="24"/>
        </w:rPr>
        <w:t>Sniegto pakalpojumu un klientu raksturojums.</w:t>
      </w:r>
    </w:p>
    <w:p w14:paraId="0291E890" w14:textId="404AF46F" w:rsidR="006312C5" w:rsidRPr="0073373A" w:rsidRDefault="00B50A6D" w:rsidP="00C37E1F">
      <w:pPr>
        <w:pStyle w:val="ListParagraph"/>
        <w:spacing w:line="240" w:lineRule="auto"/>
        <w:ind w:left="142"/>
        <w:contextualSpacing w:val="0"/>
        <w:jc w:val="both"/>
        <w:rPr>
          <w:rFonts w:ascii="Times New Roman" w:hAnsi="Times New Roman" w:cs="Times New Roman"/>
          <w:sz w:val="24"/>
          <w:szCs w:val="24"/>
        </w:rPr>
      </w:pPr>
      <w:r w:rsidRPr="0073373A">
        <w:rPr>
          <w:rFonts w:ascii="Times New Roman" w:hAnsi="Times New Roman" w:cs="Times New Roman"/>
          <w:sz w:val="24"/>
          <w:szCs w:val="24"/>
        </w:rPr>
        <w:t>Licencēts azartspēļu organizētājs azartspēles drīkst organizēt tikai licencētās azartspēļu organizēšanas vietās – kazino, spēļu zālēs, bingo zālēs, kā arī totalizatora un derību likmju pieņemšanas vietās, ja ir saņemta attiecīgās azartspēļu organizēšanas vietas licence. Azartspēles var organizēt arī interaktīvā vidē pēc interaktīvo azartspēļu organizēšanas licences saņemšanas.</w:t>
      </w:r>
    </w:p>
    <w:p w14:paraId="251F692A" w14:textId="77777777" w:rsidR="00A04373" w:rsidRPr="0073373A" w:rsidRDefault="00A04373" w:rsidP="00C37E1F">
      <w:pPr>
        <w:pStyle w:val="ListParagraph"/>
        <w:spacing w:line="240" w:lineRule="auto"/>
        <w:ind w:left="142"/>
        <w:contextualSpacing w:val="0"/>
        <w:jc w:val="both"/>
        <w:rPr>
          <w:rFonts w:ascii="Times New Roman" w:hAnsi="Times New Roman" w:cs="Times New Roman"/>
          <w:sz w:val="24"/>
          <w:szCs w:val="24"/>
        </w:rPr>
      </w:pPr>
      <w:r w:rsidRPr="0073373A">
        <w:rPr>
          <w:rFonts w:ascii="Times New Roman" w:hAnsi="Times New Roman" w:cs="Times New Roman"/>
          <w:sz w:val="24"/>
          <w:szCs w:val="24"/>
        </w:rPr>
        <w:t>Interaktīvajās azartspēlēs var piedalīties tikai personas ar Latvijas Republikā piešķirtu personas kodu. Lai piedalītos interaktīvajās azartspēlēs, klientam ir jāreģistrējas azartspēļu organizētāja tīmekļvietnē, kā rezultātā tam tiek izveidots spēlētāja konts. Pirms klientam kļūst pieejams azartspēļu pakalpojums, klienta identitāte tiek pārbaudīta, izmantojot drošus tehnoloģiskos risinājumus, un spēlētāja konta papildināšanai tiek izmantots verificēts maksāšanas līdzeklis.</w:t>
      </w:r>
    </w:p>
    <w:p w14:paraId="2618799D" w14:textId="2CAC6ECA" w:rsidR="00021194" w:rsidRPr="0073373A" w:rsidRDefault="00A04373" w:rsidP="002376D9">
      <w:pPr>
        <w:pStyle w:val="Parastais"/>
        <w:spacing w:before="120" w:after="120"/>
        <w:ind w:left="142" w:firstLine="0"/>
        <w:rPr>
          <w:rFonts w:ascii="Times New Roman" w:hAnsi="Times New Roman"/>
          <w:sz w:val="24"/>
          <w:szCs w:val="28"/>
        </w:rPr>
      </w:pPr>
      <w:r w:rsidRPr="0073373A">
        <w:rPr>
          <w:rFonts w:ascii="Times New Roman" w:hAnsi="Times New Roman"/>
          <w:sz w:val="24"/>
          <w:szCs w:val="24"/>
        </w:rPr>
        <w:t>Klātienes azartspēlēs var piedalīties gan personas ar Latvijas personas kodu, gan ārvalstnieki. Spēļu zālēs, bingo zālēs un totalizatora likmju pieņemšanas vietās, izņemot kazino, līdz 2000 EUR darījumu slieksnim klientu identifikācija netiek veikta, kas rada daļējas anonimitātes elementu. Tomēr, ja klientam ir izsniegta klienta karte (lojalitātes karte), klients pirms kartes izsniegšanas tiek identificēts atbilstoši Noziedzīgi iegūtu līdzekļu legalizācijas un terorisma un proliferācijas finansēšanas novēršanas likuma prasībām.</w:t>
      </w:r>
      <w:r w:rsidR="00021194" w:rsidRPr="0073373A">
        <w:rPr>
          <w:rFonts w:ascii="Times New Roman" w:hAnsi="Times New Roman"/>
          <w:sz w:val="24"/>
          <w:szCs w:val="24"/>
        </w:rPr>
        <w:t xml:space="preserve"> </w:t>
      </w:r>
      <w:r w:rsidR="00DB1CFC" w:rsidRPr="0073373A">
        <w:rPr>
          <w:rFonts w:ascii="Times New Roman" w:hAnsi="Times New Roman"/>
          <w:sz w:val="24"/>
          <w:szCs w:val="28"/>
        </w:rPr>
        <w:t>Klātienes a</w:t>
      </w:r>
      <w:r w:rsidR="00021194" w:rsidRPr="0073373A">
        <w:rPr>
          <w:rFonts w:ascii="Times New Roman" w:hAnsi="Times New Roman"/>
          <w:sz w:val="24"/>
          <w:szCs w:val="28"/>
        </w:rPr>
        <w:t>zartspē</w:t>
      </w:r>
      <w:r w:rsidR="00DB1CFC" w:rsidRPr="0073373A">
        <w:rPr>
          <w:rFonts w:ascii="Times New Roman" w:hAnsi="Times New Roman"/>
          <w:sz w:val="24"/>
          <w:szCs w:val="28"/>
        </w:rPr>
        <w:t>lēs</w:t>
      </w:r>
      <w:r w:rsidR="00021194" w:rsidRPr="0073373A">
        <w:rPr>
          <w:rFonts w:ascii="Times New Roman" w:hAnsi="Times New Roman"/>
          <w:sz w:val="24"/>
          <w:szCs w:val="28"/>
        </w:rPr>
        <w:t xml:space="preserve"> klienti vienā apmeklējuma reizē var veikt darījumus gan skaidrā, gan bezskaidrā naudā. </w:t>
      </w:r>
    </w:p>
    <w:p w14:paraId="4765643C" w14:textId="77777777" w:rsidR="00376446" w:rsidRPr="0073373A" w:rsidRDefault="00376446" w:rsidP="002376D9">
      <w:pPr>
        <w:pStyle w:val="NormalWeb"/>
        <w:ind w:left="142"/>
      </w:pPr>
      <w:r w:rsidRPr="0073373A">
        <w:rPr>
          <w:szCs w:val="28"/>
        </w:rPr>
        <w:t xml:space="preserve">Klātienes azartspēlēs klientu profils ir daudzveidīgāks, jo pakalpojumus izmanto arī ārvalstu klienti. </w:t>
      </w:r>
      <w:r w:rsidRPr="0073373A">
        <w:t>Paaugstināta riska klientu grupā var ietilpt personas, kuras:</w:t>
      </w:r>
    </w:p>
    <w:p w14:paraId="17C337A1" w14:textId="77777777" w:rsidR="00376446" w:rsidRPr="0073373A" w:rsidRDefault="00376446" w:rsidP="00376446">
      <w:pPr>
        <w:numPr>
          <w:ilvl w:val="0"/>
          <w:numId w:val="6"/>
        </w:numPr>
        <w:spacing w:before="100" w:beforeAutospacing="1" w:after="100" w:afterAutospacing="1" w:line="300" w:lineRule="atLeast"/>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regulāri veic liela apmēra iemaksas;</w:t>
      </w:r>
    </w:p>
    <w:p w14:paraId="3739C932" w14:textId="77777777" w:rsidR="00376446" w:rsidRPr="0073373A" w:rsidRDefault="00376446" w:rsidP="00376446">
      <w:pPr>
        <w:numPr>
          <w:ilvl w:val="0"/>
          <w:numId w:val="6"/>
        </w:numPr>
        <w:spacing w:before="100" w:beforeAutospacing="1" w:after="100" w:afterAutospacing="1" w:line="300" w:lineRule="atLeast"/>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izmanto vairākus maksāšanas līdzekļus;</w:t>
      </w:r>
    </w:p>
    <w:p w14:paraId="3EE8555C" w14:textId="43565212" w:rsidR="00376446" w:rsidRPr="0073373A" w:rsidRDefault="00376446" w:rsidP="00376446">
      <w:pPr>
        <w:numPr>
          <w:ilvl w:val="0"/>
          <w:numId w:val="6"/>
        </w:numPr>
        <w:spacing w:before="100" w:beforeAutospacing="1" w:after="100" w:afterAutospacing="1" w:line="300" w:lineRule="atLeast"/>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veic savstarpēji saistītus darījumus neilgos laika periodos</w:t>
      </w:r>
      <w:r w:rsidR="00060339">
        <w:rPr>
          <w:rFonts w:ascii="Times New Roman" w:eastAsia="Times New Roman" w:hAnsi="Times New Roman" w:cs="Times New Roman"/>
          <w:sz w:val="24"/>
          <w:szCs w:val="24"/>
          <w:lang w:eastAsia="lv-LV"/>
        </w:rPr>
        <w:t>;</w:t>
      </w:r>
    </w:p>
    <w:p w14:paraId="721F8E39" w14:textId="5D96C750" w:rsidR="00376446" w:rsidRPr="0073373A" w:rsidRDefault="00376446" w:rsidP="00376446">
      <w:pPr>
        <w:numPr>
          <w:ilvl w:val="0"/>
          <w:numId w:val="6"/>
        </w:numPr>
        <w:spacing w:before="100" w:beforeAutospacing="1" w:after="100" w:afterAutospacing="1" w:line="300" w:lineRule="atLeast"/>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lastRenderedPageBreak/>
        <w:t>ir saistītas ar paaugstināta riska jurisdikcijām.</w:t>
      </w:r>
    </w:p>
    <w:p w14:paraId="2B56FBD3" w14:textId="0FFD938B" w:rsidR="00376446" w:rsidRPr="0073373A" w:rsidRDefault="00376446" w:rsidP="00C37E1F">
      <w:pPr>
        <w:pStyle w:val="Parastais"/>
        <w:spacing w:before="120" w:after="120"/>
        <w:ind w:left="142" w:firstLine="0"/>
        <w:rPr>
          <w:rFonts w:ascii="Times New Roman" w:hAnsi="Times New Roman"/>
          <w:sz w:val="24"/>
          <w:szCs w:val="28"/>
        </w:rPr>
      </w:pPr>
      <w:r w:rsidRPr="0073373A">
        <w:rPr>
          <w:rFonts w:ascii="Times New Roman" w:hAnsi="Times New Roman"/>
          <w:sz w:val="24"/>
          <w:szCs w:val="28"/>
        </w:rPr>
        <w:t>Šādu klientu darbībām organizētāji piemēro padziļinātu klientu izpēti, kā arī pastiprinātu darījumu monitoringu.</w:t>
      </w:r>
    </w:p>
    <w:p w14:paraId="59BA0621" w14:textId="1B17F9A4" w:rsidR="00561AED" w:rsidRPr="0073373A" w:rsidRDefault="00561AED" w:rsidP="00C37E1F">
      <w:pPr>
        <w:pStyle w:val="Parastais"/>
        <w:spacing w:before="120" w:after="120"/>
        <w:ind w:left="142" w:firstLine="0"/>
        <w:rPr>
          <w:rFonts w:ascii="Times New Roman" w:hAnsi="Times New Roman"/>
          <w:sz w:val="24"/>
          <w:szCs w:val="28"/>
        </w:rPr>
      </w:pPr>
      <w:r w:rsidRPr="0073373A">
        <w:rPr>
          <w:rFonts w:ascii="Times New Roman" w:hAnsi="Times New Roman"/>
          <w:sz w:val="24"/>
          <w:szCs w:val="28"/>
        </w:rPr>
        <w:t>Azartspēļu nozare Latvijā tiek vērtēta kā ekonomiski nozīmīgs nefinanšu sektors ar vidēji augstu NILLTPF riska pakāpi,</w:t>
      </w:r>
      <w:r w:rsidR="007230C4" w:rsidRPr="0073373A">
        <w:rPr>
          <w:rFonts w:ascii="Times New Roman" w:hAnsi="Times New Roman"/>
          <w:sz w:val="24"/>
          <w:szCs w:val="28"/>
        </w:rPr>
        <w:t xml:space="preserve"> kas saistīta ar pakalpojumu specifiku un darījumu raksturu,</w:t>
      </w:r>
      <w:r w:rsidRPr="0073373A">
        <w:rPr>
          <w:rFonts w:ascii="Times New Roman" w:hAnsi="Times New Roman"/>
          <w:sz w:val="24"/>
          <w:szCs w:val="28"/>
        </w:rPr>
        <w:t xml:space="preserve"> taču vienlaikus sektoru </w:t>
      </w:r>
      <w:r w:rsidR="007230C4" w:rsidRPr="0073373A">
        <w:rPr>
          <w:rFonts w:ascii="Times New Roman" w:hAnsi="Times New Roman"/>
          <w:sz w:val="24"/>
          <w:szCs w:val="28"/>
        </w:rPr>
        <w:t>raksturo regulāras kontroles aktivitātes un pieaugoša organizētāju spēja identificēt un pārvaldīt NILLTPF riskus</w:t>
      </w:r>
      <w:r w:rsidRPr="0073373A">
        <w:rPr>
          <w:rFonts w:ascii="Times New Roman" w:hAnsi="Times New Roman"/>
          <w:sz w:val="24"/>
          <w:szCs w:val="28"/>
        </w:rPr>
        <w:t>.</w:t>
      </w:r>
    </w:p>
    <w:p w14:paraId="573D642E" w14:textId="38CC0CDC" w:rsidR="008C5F52" w:rsidRPr="0073373A" w:rsidRDefault="008C5F52" w:rsidP="00C37E1F">
      <w:pPr>
        <w:pStyle w:val="ListParagraph"/>
        <w:numPr>
          <w:ilvl w:val="0"/>
          <w:numId w:val="1"/>
        </w:numPr>
        <w:spacing w:line="240" w:lineRule="auto"/>
        <w:ind w:left="142" w:hanging="425"/>
        <w:contextualSpacing w:val="0"/>
        <w:jc w:val="both"/>
        <w:rPr>
          <w:rFonts w:ascii="Times New Roman" w:hAnsi="Times New Roman" w:cs="Times New Roman"/>
          <w:sz w:val="24"/>
          <w:szCs w:val="24"/>
        </w:rPr>
      </w:pPr>
      <w:r w:rsidRPr="0073373A">
        <w:rPr>
          <w:rFonts w:ascii="Times New Roman" w:hAnsi="Times New Roman" w:cs="Times New Roman"/>
          <w:sz w:val="24"/>
          <w:szCs w:val="24"/>
        </w:rPr>
        <w:t>Normatīvais regulējums un izmaiņas.</w:t>
      </w:r>
    </w:p>
    <w:p w14:paraId="5937E2BA" w14:textId="77C777CA" w:rsidR="003F5152" w:rsidRPr="0073373A" w:rsidRDefault="0084070C" w:rsidP="00C37E1F">
      <w:pPr>
        <w:pStyle w:val="ListParagraph"/>
        <w:spacing w:line="240" w:lineRule="auto"/>
        <w:ind w:left="142"/>
        <w:contextualSpacing w:val="0"/>
        <w:jc w:val="both"/>
        <w:rPr>
          <w:rFonts w:ascii="Times New Roman" w:hAnsi="Times New Roman" w:cs="Times New Roman"/>
          <w:iCs/>
          <w:sz w:val="24"/>
          <w:szCs w:val="24"/>
        </w:rPr>
      </w:pPr>
      <w:r w:rsidRPr="0073373A">
        <w:rPr>
          <w:rFonts w:ascii="Times New Roman" w:hAnsi="Times New Roman" w:cs="Times New Roman"/>
          <w:iCs/>
          <w:sz w:val="24"/>
          <w:szCs w:val="24"/>
        </w:rPr>
        <w:t>Azartspēļu un izložu organizēšanas nozari regulē Azartspēļu un izložu likums, kas nosaka azartspēļu organizēšanas kārtību, licencēšanas nosacījumus un uzraudzības mehānismus. Nozare vienlaikus ir pakļauta arī Noziedzīgi iegūtu līdzekļu legalizācijas un terorisma un proliferācijas finansēšanas novēršanas likuma prasībām, kā arī citiem normatīvajiem aktiem un starptautiskajiem standartiem, kas regulē NILLTPF novēršanas jomu.</w:t>
      </w:r>
      <w:r w:rsidR="003F5152" w:rsidRPr="0073373A">
        <w:rPr>
          <w:rFonts w:ascii="Times New Roman" w:hAnsi="Times New Roman" w:cs="Times New Roman"/>
          <w:iCs/>
          <w:sz w:val="24"/>
          <w:szCs w:val="24"/>
        </w:rPr>
        <w:t xml:space="preserve"> </w:t>
      </w:r>
    </w:p>
    <w:p w14:paraId="75EED950" w14:textId="70D75B4A" w:rsidR="00820D7A" w:rsidRPr="0073373A" w:rsidRDefault="00820D7A" w:rsidP="00820D7A">
      <w:pPr>
        <w:pStyle w:val="ListParagraph"/>
        <w:numPr>
          <w:ilvl w:val="0"/>
          <w:numId w:val="1"/>
        </w:numPr>
        <w:spacing w:line="240" w:lineRule="auto"/>
        <w:ind w:left="142" w:hanging="426"/>
        <w:contextualSpacing w:val="0"/>
        <w:jc w:val="both"/>
        <w:rPr>
          <w:rFonts w:ascii="Times New Roman" w:hAnsi="Times New Roman" w:cs="Times New Roman"/>
          <w:sz w:val="24"/>
          <w:szCs w:val="24"/>
        </w:rPr>
      </w:pPr>
      <w:r w:rsidRPr="0073373A">
        <w:rPr>
          <w:rFonts w:ascii="Times New Roman" w:hAnsi="Times New Roman" w:cs="Times New Roman"/>
          <w:sz w:val="24"/>
          <w:szCs w:val="24"/>
        </w:rPr>
        <w:t>NILLTPF risku kontroles sistēmas sektorā</w:t>
      </w:r>
    </w:p>
    <w:p w14:paraId="1DE81CB7" w14:textId="77777777" w:rsidR="00820D7A" w:rsidRPr="0073373A" w:rsidRDefault="00820D7A" w:rsidP="00060339">
      <w:pPr>
        <w:pStyle w:val="ListParagraph"/>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Izložu un azartspēļu organizēšanas sektorā NILLTPF risku pārvaldībai būtiska nozīme ir organizētāju izveidotajām iekšējās kontroles sistēmām un to spējai savlaicīgi identificēt klientu un darījumu riska pazīmes. Ņemot vērā azartspēļu pakalpojumu specifiku, kontroles pasākumi tiek piemēroti atbilstoši klientu darbības veidam, izmantotajiem pakalpojumiem, darījumu apjomam un citiem riska faktoriem.</w:t>
      </w:r>
    </w:p>
    <w:p w14:paraId="6CA255D8" w14:textId="77777777" w:rsidR="00820D7A" w:rsidRPr="0073373A" w:rsidRDefault="00820D7A" w:rsidP="00060339">
      <w:pPr>
        <w:pStyle w:val="ListParagraph"/>
        <w:spacing w:line="240" w:lineRule="auto"/>
        <w:ind w:left="142"/>
        <w:jc w:val="both"/>
        <w:rPr>
          <w:rFonts w:ascii="Times New Roman" w:hAnsi="Times New Roman" w:cs="Times New Roman"/>
          <w:sz w:val="24"/>
          <w:szCs w:val="24"/>
        </w:rPr>
      </w:pPr>
    </w:p>
    <w:p w14:paraId="2AC4369B" w14:textId="77777777" w:rsidR="00820D7A" w:rsidRPr="0073373A" w:rsidRDefault="00820D7A" w:rsidP="00060339">
      <w:pPr>
        <w:pStyle w:val="ListParagraph"/>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Būtisks kontroles elements ir klienta identificēšana un klienta izpēte. Interaktīvo azartspēļu vidē klienta identitātes pārbaude tiek veikta pirms azartspēļu pakalpojuma izmantošanas, savukārt spēlētāja konta papildināšanai tiek izmantots verificēts maksāšanas līdzeklis. Šāds organizēšanas modelis samazina anonimitātes iespējas un nodrošina iespēju sasaistīt klienta darbības ar konkrētu personu.</w:t>
      </w:r>
    </w:p>
    <w:p w14:paraId="446FAAF4" w14:textId="77777777" w:rsidR="00820D7A" w:rsidRPr="0073373A" w:rsidRDefault="00820D7A" w:rsidP="00060339">
      <w:pPr>
        <w:pStyle w:val="ListParagraph"/>
        <w:spacing w:line="240" w:lineRule="auto"/>
        <w:ind w:left="142"/>
        <w:jc w:val="both"/>
        <w:rPr>
          <w:rFonts w:ascii="Times New Roman" w:hAnsi="Times New Roman" w:cs="Times New Roman"/>
          <w:sz w:val="24"/>
          <w:szCs w:val="24"/>
        </w:rPr>
      </w:pPr>
    </w:p>
    <w:p w14:paraId="0AFE39E5" w14:textId="727B9E1E" w:rsidR="00820D7A" w:rsidRPr="0073373A" w:rsidRDefault="00820D7A" w:rsidP="00060339">
      <w:pPr>
        <w:pStyle w:val="ListParagraph"/>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Klātienes azartspēļu segmentā klienti var izmantot skaidru naudu un līdz noteiktam darījumu slieksnim pastāv daļējs anonimitātes elements. Vienlaikus klienta identifikācija tiek nodrošināta gadījumos, kad tiek sasniegts normatīvajos aktos noteiktais slieksnis vai klientam tiek izsniegta klienta karte. Klienta kartes izmantošana ļauj organizētājam sasaistīt klienta veiktos darījumus ar konkrētu personu un veidot pilnīgāku priekšstatu par klienta darbību.</w:t>
      </w:r>
    </w:p>
    <w:p w14:paraId="55FFC535" w14:textId="77777777" w:rsidR="00820D7A" w:rsidRPr="0073373A" w:rsidRDefault="00820D7A" w:rsidP="00060339">
      <w:pPr>
        <w:pStyle w:val="ListParagraph"/>
        <w:spacing w:line="240" w:lineRule="auto"/>
        <w:ind w:left="142"/>
        <w:jc w:val="both"/>
        <w:rPr>
          <w:rFonts w:ascii="Times New Roman" w:hAnsi="Times New Roman" w:cs="Times New Roman"/>
          <w:sz w:val="24"/>
          <w:szCs w:val="24"/>
        </w:rPr>
      </w:pPr>
    </w:p>
    <w:p w14:paraId="31DEEDB4" w14:textId="18B66AE0" w:rsidR="00820D7A" w:rsidRPr="00060339" w:rsidRDefault="00820D7A" w:rsidP="00060339">
      <w:pPr>
        <w:pStyle w:val="ListParagraph"/>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NILLTPF risku pārvaldībā būtiska nozīme ir darījumu uzraudzībai. Organizētāji analizē klientu veiktos darījumus, to regularitāti, apmēru un savstarpējo saistību, īpašu uzmanību pievēršot darbībām, kas neatbilst klienta ierastajam darbības profilam.</w:t>
      </w:r>
      <w:r w:rsidR="00060339">
        <w:rPr>
          <w:rFonts w:ascii="Times New Roman" w:hAnsi="Times New Roman" w:cs="Times New Roman"/>
          <w:sz w:val="24"/>
          <w:szCs w:val="24"/>
        </w:rPr>
        <w:t xml:space="preserve"> </w:t>
      </w:r>
      <w:r w:rsidRPr="00060339">
        <w:rPr>
          <w:rFonts w:ascii="Times New Roman" w:hAnsi="Times New Roman" w:cs="Times New Roman"/>
          <w:sz w:val="24"/>
          <w:szCs w:val="24"/>
        </w:rPr>
        <w:t>Kontroles sistēmas būtiska sastāvdaļa ir arī darbinieku zināšanas un regulāra apmācība. Azartspēļu organizētāji turpina veikt darbinieku apmācības un pārbauda apgūto zināšanu līmeni. Tas ir īpaši nozīmīgi klātienes azartspēļu organizēšanas vietās, kur darbinieks var būt pirmais kontroles sistēmas elements, kas pamana klienta neparastu uzvedību vai aizdomīgu darījumu.</w:t>
      </w:r>
    </w:p>
    <w:p w14:paraId="5001EEFB" w14:textId="77777777" w:rsidR="003F5152" w:rsidRPr="0073373A" w:rsidRDefault="003F5152" w:rsidP="00C37E1F">
      <w:pPr>
        <w:pStyle w:val="Heading1"/>
        <w:spacing w:line="240" w:lineRule="auto"/>
        <w:rPr>
          <w:color w:val="auto"/>
          <w:sz w:val="32"/>
          <w:szCs w:val="32"/>
        </w:rPr>
      </w:pPr>
      <w:r w:rsidRPr="0073373A">
        <w:rPr>
          <w:color w:val="auto"/>
          <w:sz w:val="32"/>
          <w:szCs w:val="32"/>
        </w:rPr>
        <w:t>Sektora ievainojamība</w:t>
      </w:r>
    </w:p>
    <w:p w14:paraId="300B13DA" w14:textId="20D8FA23" w:rsidR="002513DE" w:rsidRPr="0073373A" w:rsidRDefault="006B5042" w:rsidP="00C37E1F">
      <w:pPr>
        <w:pStyle w:val="ListParagraph"/>
        <w:numPr>
          <w:ilvl w:val="0"/>
          <w:numId w:val="1"/>
        </w:numPr>
        <w:spacing w:before="120" w:after="120" w:line="240" w:lineRule="auto"/>
        <w:ind w:left="142" w:hanging="426"/>
        <w:contextualSpacing w:val="0"/>
        <w:jc w:val="both"/>
        <w:rPr>
          <w:rFonts w:ascii="Times New Roman" w:hAnsi="Times New Roman" w:cs="Times New Roman"/>
          <w:sz w:val="28"/>
          <w:szCs w:val="28"/>
        </w:rPr>
      </w:pPr>
      <w:r w:rsidRPr="0073373A">
        <w:rPr>
          <w:rFonts w:ascii="Times New Roman" w:hAnsi="Times New Roman" w:cs="Times New Roman"/>
          <w:sz w:val="24"/>
          <w:szCs w:val="24"/>
        </w:rPr>
        <w:t>Uzraudzības pasākumi un konstatētie pārkāpumi.</w:t>
      </w:r>
    </w:p>
    <w:p w14:paraId="753A0539" w14:textId="721F2372" w:rsidR="003F5152" w:rsidRPr="0073373A" w:rsidRDefault="003F5152" w:rsidP="00C37E1F">
      <w:pPr>
        <w:spacing w:before="120" w:after="120"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 xml:space="preserve">IAUI piemēro dažādus NILLTPF novēršanas pārbaudes veidus - gan klātienes, gan neklātienes, lai maksimāli efektīvi ar pieejamajiem cilvēkresursiem un tehnisko </w:t>
      </w:r>
      <w:r w:rsidRPr="0073373A">
        <w:rPr>
          <w:rFonts w:ascii="Times New Roman" w:hAnsi="Times New Roman" w:cs="Times New Roman"/>
          <w:sz w:val="24"/>
          <w:szCs w:val="24"/>
        </w:rPr>
        <w:lastRenderedPageBreak/>
        <w:t xml:space="preserve">nodrošinājumu veiktu uzraudzību. NILLTPF novēršanas klātienes pārbaudes tiek veiktas klātienes azartspēļu vai izložu organizēšanas vietās – spēļu zālēs, kazino, totalizatora un likmju pieņemšanas vietās, bingo zālēs, izložu biļešu pārdošanas punktos, azartspēļu vai </w:t>
      </w:r>
      <w:r w:rsidR="008304C2" w:rsidRPr="0073373A">
        <w:rPr>
          <w:rFonts w:ascii="Times New Roman" w:hAnsi="Times New Roman" w:cs="Times New Roman"/>
          <w:sz w:val="24"/>
          <w:szCs w:val="24"/>
        </w:rPr>
        <w:t xml:space="preserve"> </w:t>
      </w:r>
      <w:r w:rsidRPr="0073373A">
        <w:rPr>
          <w:rFonts w:ascii="Times New Roman" w:hAnsi="Times New Roman" w:cs="Times New Roman"/>
          <w:sz w:val="24"/>
          <w:szCs w:val="24"/>
        </w:rPr>
        <w:t>izložu organizētāja birojā. NILLTPF novēršanas neklātienes pārbaudēs tiek pārbaudīti azartspēļu un izložu organizētāja dokumentācija vai informācija, kas nodrošina NILLTPF novēršanas likuma prasību izpildi un to piemērošanu, vai interaktīvo azartspēļu vai izložu organizētāja interaktīvo azartspēļu vai izložu organizēšanas sistēmu. Papildus tam, IAUI amatpersonas piedalās visās ar kazino darbību saistītās inkasācijas procedūrās</w:t>
      </w:r>
      <w:r w:rsidR="00613F8A" w:rsidRPr="0073373A">
        <w:rPr>
          <w:rFonts w:ascii="Times New Roman" w:hAnsi="Times New Roman" w:cs="Times New Roman"/>
          <w:sz w:val="24"/>
          <w:szCs w:val="24"/>
        </w:rPr>
        <w:t xml:space="preserve"> </w:t>
      </w:r>
      <w:r w:rsidRPr="0073373A">
        <w:rPr>
          <w:rFonts w:ascii="Times New Roman" w:hAnsi="Times New Roman" w:cs="Times New Roman"/>
          <w:sz w:val="24"/>
          <w:szCs w:val="24"/>
        </w:rPr>
        <w:t xml:space="preserve">attālināti, izmantojot speciālās grāmatvedības uzskaites sistēmas un videonovērošanas ierakstus. </w:t>
      </w:r>
    </w:p>
    <w:p w14:paraId="0099D0B0" w14:textId="3F209A0A" w:rsidR="006574A8" w:rsidRPr="0073373A" w:rsidRDefault="007230C4" w:rsidP="006574A8">
      <w:pPr>
        <w:spacing w:before="120" w:after="120"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IAUI īsteno riskos balstītu uzraudzības pieeju, regulāri izvērtējot katra organizētāja riska profilu un pielāgojot pārbaužu biežumu atbilstoši identificētajiem riskiem. Sektora ievainojamību ietekmē skaidras naudas izmantošana klātienes azartspēlēs, daļēja anonimitāte spēļu zālēs līdz identifikācijas sliekšņa sasniegšanai, kā arī iespēja izmantot azartspēļu pakalpojumus kā līdzekļu pārvietošanas vai uzkrāšanas mehānismu. Vienlaikus šos riskus būtiski mazina klientu identifikācijas prasības, darījumu monitorings, azartspēļu vietu videonovērošana un centralizēto uzraudzības sistēmu izmantošana.</w:t>
      </w:r>
    </w:p>
    <w:p w14:paraId="55670C81" w14:textId="5FB00C49" w:rsidR="003F5AF8" w:rsidRPr="0073373A" w:rsidRDefault="003F5AF8" w:rsidP="006574A8">
      <w:pPr>
        <w:spacing w:before="120" w:after="120"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Pārskata periodā IAUI veica gan klātienes, gan neklātienes uzraudzības pārbaudes, izvērtējot azartspēļu un izložu organizētāju atbilstību normatīvo aktu prasībām. Pārbaužu ietvaros tika analizētas organizētāju iekšējās kontroles sistēmas, klientu izpētes pasākumi, darījumu uzraudzība un citu normatīvajos aktos noteikto pienākumu izpilde.</w:t>
      </w:r>
    </w:p>
    <w:tbl>
      <w:tblPr>
        <w:tblStyle w:val="TableGrid"/>
        <w:tblW w:w="0" w:type="auto"/>
        <w:tblLook w:val="04A0" w:firstRow="1" w:lastRow="0" w:firstColumn="1" w:lastColumn="0" w:noHBand="0" w:noVBand="1"/>
      </w:tblPr>
      <w:tblGrid>
        <w:gridCol w:w="778"/>
        <w:gridCol w:w="2352"/>
        <w:gridCol w:w="1264"/>
        <w:gridCol w:w="2528"/>
        <w:gridCol w:w="1264"/>
        <w:gridCol w:w="777"/>
      </w:tblGrid>
      <w:tr w:rsidR="00A13C7F" w:rsidRPr="0073373A" w14:paraId="5956B19A" w14:textId="77777777" w:rsidTr="00A13C7F">
        <w:tc>
          <w:tcPr>
            <w:tcW w:w="0" w:type="auto"/>
            <w:shd w:val="clear" w:color="auto" w:fill="4C94D8" w:themeFill="text2" w:themeFillTint="80"/>
            <w:hideMark/>
          </w:tcPr>
          <w:p w14:paraId="3DC61C18" w14:textId="77777777" w:rsidR="00A13C7F" w:rsidRPr="0073373A" w:rsidRDefault="00A13C7F" w:rsidP="00A13C7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Gads</w:t>
            </w:r>
          </w:p>
        </w:tc>
        <w:tc>
          <w:tcPr>
            <w:tcW w:w="0" w:type="auto"/>
            <w:shd w:val="clear" w:color="auto" w:fill="4C94D8" w:themeFill="text2" w:themeFillTint="80"/>
            <w:hideMark/>
          </w:tcPr>
          <w:p w14:paraId="7430A7FF" w14:textId="77777777" w:rsidR="00A13C7F" w:rsidRPr="0073373A" w:rsidRDefault="00A13C7F" w:rsidP="00A13C7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Klātienes pārbaudes (skaits)</w:t>
            </w:r>
          </w:p>
        </w:tc>
        <w:tc>
          <w:tcPr>
            <w:tcW w:w="0" w:type="auto"/>
            <w:shd w:val="clear" w:color="auto" w:fill="4C94D8" w:themeFill="text2" w:themeFillTint="80"/>
            <w:hideMark/>
          </w:tcPr>
          <w:p w14:paraId="09A9D554" w14:textId="0A9AEBF2" w:rsidR="00A13C7F" w:rsidRPr="0073373A" w:rsidRDefault="00A13C7F" w:rsidP="00A13C7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 no kopējā</w:t>
            </w:r>
          </w:p>
        </w:tc>
        <w:tc>
          <w:tcPr>
            <w:tcW w:w="0" w:type="auto"/>
            <w:shd w:val="clear" w:color="auto" w:fill="4C94D8" w:themeFill="text2" w:themeFillTint="80"/>
            <w:hideMark/>
          </w:tcPr>
          <w:p w14:paraId="5369BC60" w14:textId="77777777" w:rsidR="00A13C7F" w:rsidRPr="0073373A" w:rsidRDefault="00A13C7F" w:rsidP="00A13C7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Neklātienes pārbaudes (skaits)</w:t>
            </w:r>
          </w:p>
        </w:tc>
        <w:tc>
          <w:tcPr>
            <w:tcW w:w="0" w:type="auto"/>
            <w:shd w:val="clear" w:color="auto" w:fill="4C94D8" w:themeFill="text2" w:themeFillTint="80"/>
            <w:hideMark/>
          </w:tcPr>
          <w:p w14:paraId="1A6C85F2" w14:textId="0E05C408" w:rsidR="00A13C7F" w:rsidRPr="0073373A" w:rsidRDefault="00A13C7F" w:rsidP="00A13C7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 no kopējā</w:t>
            </w:r>
          </w:p>
        </w:tc>
        <w:tc>
          <w:tcPr>
            <w:tcW w:w="0" w:type="auto"/>
            <w:shd w:val="clear" w:color="auto" w:fill="4C94D8" w:themeFill="text2" w:themeFillTint="80"/>
            <w:hideMark/>
          </w:tcPr>
          <w:p w14:paraId="505B4AF0" w14:textId="77777777" w:rsidR="00A13C7F" w:rsidRPr="0073373A" w:rsidRDefault="00A13C7F" w:rsidP="00A13C7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Kopā</w:t>
            </w:r>
          </w:p>
        </w:tc>
      </w:tr>
      <w:tr w:rsidR="00A13C7F" w:rsidRPr="0073373A" w14:paraId="399B5101" w14:textId="77777777" w:rsidTr="00A13C7F">
        <w:tc>
          <w:tcPr>
            <w:tcW w:w="0" w:type="auto"/>
            <w:hideMark/>
          </w:tcPr>
          <w:p w14:paraId="6DE847AB"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2023</w:t>
            </w:r>
          </w:p>
        </w:tc>
        <w:tc>
          <w:tcPr>
            <w:tcW w:w="0" w:type="auto"/>
            <w:hideMark/>
          </w:tcPr>
          <w:p w14:paraId="03126C74"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21</w:t>
            </w:r>
          </w:p>
        </w:tc>
        <w:tc>
          <w:tcPr>
            <w:tcW w:w="0" w:type="auto"/>
            <w:hideMark/>
          </w:tcPr>
          <w:p w14:paraId="74D73F08"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52,5%</w:t>
            </w:r>
          </w:p>
        </w:tc>
        <w:tc>
          <w:tcPr>
            <w:tcW w:w="0" w:type="auto"/>
            <w:hideMark/>
          </w:tcPr>
          <w:p w14:paraId="009A0C26"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19</w:t>
            </w:r>
          </w:p>
        </w:tc>
        <w:tc>
          <w:tcPr>
            <w:tcW w:w="0" w:type="auto"/>
            <w:hideMark/>
          </w:tcPr>
          <w:p w14:paraId="30D0CA20"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47,5%</w:t>
            </w:r>
          </w:p>
        </w:tc>
        <w:tc>
          <w:tcPr>
            <w:tcW w:w="0" w:type="auto"/>
            <w:hideMark/>
          </w:tcPr>
          <w:p w14:paraId="54E6E991"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40</w:t>
            </w:r>
          </w:p>
        </w:tc>
      </w:tr>
      <w:tr w:rsidR="00A13C7F" w:rsidRPr="0073373A" w14:paraId="49A844C7" w14:textId="77777777" w:rsidTr="00A13C7F">
        <w:tc>
          <w:tcPr>
            <w:tcW w:w="0" w:type="auto"/>
            <w:hideMark/>
          </w:tcPr>
          <w:p w14:paraId="167F761F"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2024</w:t>
            </w:r>
          </w:p>
        </w:tc>
        <w:tc>
          <w:tcPr>
            <w:tcW w:w="0" w:type="auto"/>
            <w:hideMark/>
          </w:tcPr>
          <w:p w14:paraId="32E3462C"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11</w:t>
            </w:r>
          </w:p>
        </w:tc>
        <w:tc>
          <w:tcPr>
            <w:tcW w:w="0" w:type="auto"/>
            <w:hideMark/>
          </w:tcPr>
          <w:p w14:paraId="5407E7B1"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50,0%</w:t>
            </w:r>
          </w:p>
        </w:tc>
        <w:tc>
          <w:tcPr>
            <w:tcW w:w="0" w:type="auto"/>
            <w:hideMark/>
          </w:tcPr>
          <w:p w14:paraId="4E5045BF"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11</w:t>
            </w:r>
          </w:p>
        </w:tc>
        <w:tc>
          <w:tcPr>
            <w:tcW w:w="0" w:type="auto"/>
            <w:hideMark/>
          </w:tcPr>
          <w:p w14:paraId="78907F0F"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50,0%</w:t>
            </w:r>
          </w:p>
        </w:tc>
        <w:tc>
          <w:tcPr>
            <w:tcW w:w="0" w:type="auto"/>
            <w:hideMark/>
          </w:tcPr>
          <w:p w14:paraId="5A675803"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22</w:t>
            </w:r>
          </w:p>
        </w:tc>
      </w:tr>
      <w:tr w:rsidR="00A13C7F" w:rsidRPr="0073373A" w14:paraId="50E3ED15" w14:textId="77777777" w:rsidTr="00A13C7F">
        <w:tc>
          <w:tcPr>
            <w:tcW w:w="0" w:type="auto"/>
            <w:hideMark/>
          </w:tcPr>
          <w:p w14:paraId="57637064"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2025</w:t>
            </w:r>
          </w:p>
        </w:tc>
        <w:tc>
          <w:tcPr>
            <w:tcW w:w="0" w:type="auto"/>
            <w:hideMark/>
          </w:tcPr>
          <w:p w14:paraId="1CDB8DF6"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12</w:t>
            </w:r>
          </w:p>
        </w:tc>
        <w:tc>
          <w:tcPr>
            <w:tcW w:w="0" w:type="auto"/>
            <w:hideMark/>
          </w:tcPr>
          <w:p w14:paraId="2DE1E3D8"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30,8%</w:t>
            </w:r>
          </w:p>
        </w:tc>
        <w:tc>
          <w:tcPr>
            <w:tcW w:w="0" w:type="auto"/>
            <w:hideMark/>
          </w:tcPr>
          <w:p w14:paraId="4DEEA844"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27</w:t>
            </w:r>
          </w:p>
        </w:tc>
        <w:tc>
          <w:tcPr>
            <w:tcW w:w="0" w:type="auto"/>
            <w:hideMark/>
          </w:tcPr>
          <w:p w14:paraId="57BA0787"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69,2%</w:t>
            </w:r>
          </w:p>
        </w:tc>
        <w:tc>
          <w:tcPr>
            <w:tcW w:w="0" w:type="auto"/>
            <w:hideMark/>
          </w:tcPr>
          <w:p w14:paraId="16BFA32F"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39</w:t>
            </w:r>
          </w:p>
        </w:tc>
      </w:tr>
      <w:tr w:rsidR="00A13C7F" w:rsidRPr="0073373A" w14:paraId="124AD0DE" w14:textId="77777777" w:rsidTr="00A13C7F">
        <w:tc>
          <w:tcPr>
            <w:tcW w:w="0" w:type="auto"/>
            <w:hideMark/>
          </w:tcPr>
          <w:p w14:paraId="530B2282" w14:textId="77777777" w:rsidR="00A13C7F" w:rsidRPr="0073373A" w:rsidRDefault="00A13C7F" w:rsidP="00A13C7F">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Kopā</w:t>
            </w:r>
          </w:p>
        </w:tc>
        <w:tc>
          <w:tcPr>
            <w:tcW w:w="0" w:type="auto"/>
            <w:hideMark/>
          </w:tcPr>
          <w:p w14:paraId="6D37B3EF"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b/>
                <w:bCs/>
                <w:sz w:val="24"/>
                <w:szCs w:val="24"/>
                <w:lang w:eastAsia="lv-LV"/>
              </w:rPr>
              <w:t>44</w:t>
            </w:r>
          </w:p>
        </w:tc>
        <w:tc>
          <w:tcPr>
            <w:tcW w:w="0" w:type="auto"/>
            <w:hideMark/>
          </w:tcPr>
          <w:p w14:paraId="0CFEC872"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b/>
                <w:bCs/>
                <w:sz w:val="24"/>
                <w:szCs w:val="24"/>
                <w:lang w:eastAsia="lv-LV"/>
              </w:rPr>
              <w:t>43,6%</w:t>
            </w:r>
          </w:p>
        </w:tc>
        <w:tc>
          <w:tcPr>
            <w:tcW w:w="0" w:type="auto"/>
            <w:hideMark/>
          </w:tcPr>
          <w:p w14:paraId="255C7131"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b/>
                <w:bCs/>
                <w:sz w:val="24"/>
                <w:szCs w:val="24"/>
                <w:lang w:eastAsia="lv-LV"/>
              </w:rPr>
              <w:t>57</w:t>
            </w:r>
          </w:p>
        </w:tc>
        <w:tc>
          <w:tcPr>
            <w:tcW w:w="0" w:type="auto"/>
            <w:hideMark/>
          </w:tcPr>
          <w:p w14:paraId="666F2BFB"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b/>
                <w:bCs/>
                <w:sz w:val="24"/>
                <w:szCs w:val="24"/>
                <w:lang w:eastAsia="lv-LV"/>
              </w:rPr>
              <w:t>56,4%</w:t>
            </w:r>
          </w:p>
        </w:tc>
        <w:tc>
          <w:tcPr>
            <w:tcW w:w="0" w:type="auto"/>
            <w:hideMark/>
          </w:tcPr>
          <w:p w14:paraId="51F72B74" w14:textId="77777777" w:rsidR="00A13C7F" w:rsidRPr="0073373A" w:rsidRDefault="00A13C7F" w:rsidP="00A13C7F">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b/>
                <w:bCs/>
                <w:sz w:val="24"/>
                <w:szCs w:val="24"/>
                <w:lang w:eastAsia="lv-LV"/>
              </w:rPr>
              <w:t>101</w:t>
            </w:r>
          </w:p>
        </w:tc>
      </w:tr>
    </w:tbl>
    <w:p w14:paraId="0B76CA94" w14:textId="77777777" w:rsidR="00A13C7F" w:rsidRPr="0073373A" w:rsidRDefault="00A13C7F" w:rsidP="006574A8">
      <w:pPr>
        <w:spacing w:before="120" w:after="120" w:line="240" w:lineRule="auto"/>
        <w:ind w:left="142"/>
        <w:jc w:val="both"/>
        <w:rPr>
          <w:rFonts w:ascii="Times New Roman" w:hAnsi="Times New Roman" w:cs="Times New Roman"/>
          <w:sz w:val="24"/>
          <w:szCs w:val="24"/>
        </w:rPr>
      </w:pPr>
    </w:p>
    <w:p w14:paraId="7E5920D9" w14:textId="2EBBFE99" w:rsidR="00A13C7F" w:rsidRPr="0073373A" w:rsidRDefault="00A13C7F" w:rsidP="006574A8">
      <w:pPr>
        <w:spacing w:before="120" w:after="120"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Lai gan visā pārskata periodā tika īstenota riskos balstīta uzraudzība, 2025. gadā pieauga neklātienes pārbaužu īpatsvars.</w:t>
      </w:r>
      <w:r w:rsidR="00060339">
        <w:rPr>
          <w:rFonts w:ascii="Times New Roman" w:hAnsi="Times New Roman" w:cs="Times New Roman"/>
          <w:sz w:val="24"/>
          <w:szCs w:val="24"/>
        </w:rPr>
        <w:t xml:space="preserve"> </w:t>
      </w:r>
      <w:r w:rsidR="00060339" w:rsidRPr="00060339">
        <w:rPr>
          <w:rFonts w:ascii="Times New Roman" w:hAnsi="Times New Roman" w:cs="Times New Roman"/>
          <w:sz w:val="24"/>
          <w:szCs w:val="24"/>
        </w:rPr>
        <w:t xml:space="preserve">Pārskata periodā netika identificēti pārkāpumi, par kuriem būtu piemērojama azartspēļu un izložu organizēšanas licences apturēšana vai anulēšana. IAUI ir pieņēmusi 14 lēmumus par NILLTPF novēršanas likuma normu pārkāpumiem, kā rezultātā, izteica 6 brīdinājumus un 8 gadījumos piemēroja soda naudu, kopsummā par </w:t>
      </w:r>
      <w:r w:rsidR="00060339">
        <w:rPr>
          <w:rFonts w:ascii="Times New Roman" w:hAnsi="Times New Roman" w:cs="Times New Roman"/>
          <w:sz w:val="24"/>
          <w:szCs w:val="24"/>
        </w:rPr>
        <w:t xml:space="preserve">         </w:t>
      </w:r>
      <w:r w:rsidR="00060339" w:rsidRPr="00060339">
        <w:rPr>
          <w:rFonts w:ascii="Times New Roman" w:hAnsi="Times New Roman" w:cs="Times New Roman"/>
          <w:sz w:val="24"/>
          <w:szCs w:val="24"/>
        </w:rPr>
        <w:t>75 008,45 EUR.</w:t>
      </w:r>
    </w:p>
    <w:p w14:paraId="4221FB6C" w14:textId="22EC49A2" w:rsidR="00265549" w:rsidRPr="0073373A" w:rsidRDefault="00602EAA" w:rsidP="00C37E1F">
      <w:pPr>
        <w:pStyle w:val="Parastais"/>
        <w:numPr>
          <w:ilvl w:val="0"/>
          <w:numId w:val="1"/>
        </w:numPr>
        <w:ind w:left="142"/>
        <w:rPr>
          <w:rFonts w:ascii="Times New Roman" w:hAnsi="Times New Roman"/>
          <w:sz w:val="24"/>
          <w:szCs w:val="24"/>
        </w:rPr>
      </w:pPr>
      <w:r w:rsidRPr="0073373A">
        <w:rPr>
          <w:rFonts w:ascii="Times New Roman" w:hAnsi="Times New Roman"/>
          <w:sz w:val="24"/>
          <w:szCs w:val="24"/>
        </w:rPr>
        <w:t>Spēja identificēt aizdomīgus darījumus.</w:t>
      </w:r>
    </w:p>
    <w:p w14:paraId="764D9E5F" w14:textId="24C4A838" w:rsidR="005F2E93" w:rsidRDefault="003F5152" w:rsidP="00C37E1F">
      <w:pPr>
        <w:pStyle w:val="Parastais"/>
        <w:spacing w:before="120" w:after="120"/>
        <w:ind w:left="142" w:firstLine="0"/>
        <w:rPr>
          <w:rFonts w:ascii="Times New Roman" w:hAnsi="Times New Roman"/>
          <w:sz w:val="24"/>
          <w:szCs w:val="24"/>
        </w:rPr>
      </w:pPr>
      <w:r w:rsidRPr="0073373A">
        <w:rPr>
          <w:rFonts w:ascii="Times New Roman" w:hAnsi="Times New Roman"/>
          <w:sz w:val="24"/>
          <w:szCs w:val="24"/>
        </w:rPr>
        <w:t>Novērtēšanas periodā ziņojumu par aizdomīgiem darījumiem</w:t>
      </w:r>
      <w:r w:rsidR="00496A58" w:rsidRPr="0073373A">
        <w:rPr>
          <w:rFonts w:ascii="Times New Roman" w:hAnsi="Times New Roman"/>
          <w:sz w:val="24"/>
          <w:szCs w:val="24"/>
        </w:rPr>
        <w:t xml:space="preserve"> skaitam ir novēr</w:t>
      </w:r>
      <w:r w:rsidR="003E4430" w:rsidRPr="0073373A">
        <w:rPr>
          <w:rFonts w:ascii="Times New Roman" w:hAnsi="Times New Roman"/>
          <w:sz w:val="24"/>
          <w:szCs w:val="24"/>
        </w:rPr>
        <w:t>ojama pie</w:t>
      </w:r>
      <w:r w:rsidR="00934B77" w:rsidRPr="0073373A">
        <w:rPr>
          <w:rFonts w:ascii="Times New Roman" w:hAnsi="Times New Roman"/>
          <w:sz w:val="24"/>
          <w:szCs w:val="24"/>
        </w:rPr>
        <w:t>a</w:t>
      </w:r>
      <w:r w:rsidR="003E4430" w:rsidRPr="0073373A">
        <w:rPr>
          <w:rFonts w:ascii="Times New Roman" w:hAnsi="Times New Roman"/>
          <w:sz w:val="24"/>
          <w:szCs w:val="24"/>
        </w:rPr>
        <w:t>uguma</w:t>
      </w:r>
      <w:r w:rsidR="00934B77" w:rsidRPr="0073373A">
        <w:rPr>
          <w:rFonts w:ascii="Times New Roman" w:hAnsi="Times New Roman"/>
          <w:sz w:val="24"/>
          <w:szCs w:val="24"/>
        </w:rPr>
        <w:t xml:space="preserve"> tendence,</w:t>
      </w:r>
      <w:r w:rsidR="007230C4" w:rsidRPr="0073373A">
        <w:rPr>
          <w:rFonts w:ascii="Times New Roman" w:hAnsi="Times New Roman"/>
          <w:sz w:val="24"/>
          <w:szCs w:val="24"/>
        </w:rPr>
        <w:t xml:space="preserve"> kas liecina ne tikai par paaugstinātu darbinieku izpratni par NILLTPF riskiem, bet arī par uzlabotu iekšējās kontroles sistēmu efektivitāti, </w:t>
      </w:r>
      <w:bookmarkStart w:id="1" w:name="_Hlk237860644"/>
      <w:r w:rsidR="007230C4" w:rsidRPr="0073373A">
        <w:rPr>
          <w:rFonts w:ascii="Times New Roman" w:hAnsi="Times New Roman"/>
          <w:sz w:val="24"/>
          <w:szCs w:val="24"/>
        </w:rPr>
        <w:t xml:space="preserve">t.i. </w:t>
      </w:r>
      <w:r w:rsidR="00934B77" w:rsidRPr="0073373A">
        <w:rPr>
          <w:rFonts w:ascii="Times New Roman" w:hAnsi="Times New Roman"/>
          <w:sz w:val="24"/>
          <w:szCs w:val="24"/>
        </w:rPr>
        <w:t xml:space="preserve">2023.g. – 49 ziņojumi, 2024.g. – 139 ziņojumi un 2025.g. – 147 ziņojumi. </w:t>
      </w:r>
      <w:bookmarkEnd w:id="1"/>
      <w:r w:rsidR="00136E42" w:rsidRPr="0073373A">
        <w:rPr>
          <w:rFonts w:ascii="Times New Roman" w:hAnsi="Times New Roman"/>
          <w:sz w:val="24"/>
          <w:szCs w:val="24"/>
        </w:rPr>
        <w:t>P</w:t>
      </w:r>
      <w:r w:rsidRPr="0073373A">
        <w:rPr>
          <w:rFonts w:ascii="Times New Roman" w:hAnsi="Times New Roman"/>
          <w:sz w:val="24"/>
          <w:szCs w:val="24"/>
        </w:rPr>
        <w:t xml:space="preserve">ārskata periodā tika </w:t>
      </w:r>
      <w:r w:rsidR="00136E42" w:rsidRPr="0073373A">
        <w:rPr>
          <w:rFonts w:ascii="Times New Roman" w:hAnsi="Times New Roman"/>
          <w:sz w:val="24"/>
          <w:szCs w:val="24"/>
        </w:rPr>
        <w:t xml:space="preserve">novērota  </w:t>
      </w:r>
      <w:r w:rsidRPr="0073373A">
        <w:rPr>
          <w:rFonts w:ascii="Times New Roman" w:hAnsi="Times New Roman"/>
          <w:sz w:val="24"/>
          <w:szCs w:val="24"/>
        </w:rPr>
        <w:t>klātienes azartspēļu viet</w:t>
      </w:r>
      <w:r w:rsidR="00566AFB" w:rsidRPr="0073373A">
        <w:rPr>
          <w:rFonts w:ascii="Times New Roman" w:hAnsi="Times New Roman"/>
          <w:sz w:val="24"/>
          <w:szCs w:val="24"/>
        </w:rPr>
        <w:t>u</w:t>
      </w:r>
      <w:r w:rsidRPr="0073373A">
        <w:rPr>
          <w:rFonts w:ascii="Times New Roman" w:hAnsi="Times New Roman"/>
          <w:sz w:val="24"/>
          <w:szCs w:val="24"/>
        </w:rPr>
        <w:t xml:space="preserve"> - spēļu zā</w:t>
      </w:r>
      <w:r w:rsidR="00566AFB" w:rsidRPr="0073373A">
        <w:rPr>
          <w:rFonts w:ascii="Times New Roman" w:hAnsi="Times New Roman"/>
          <w:sz w:val="24"/>
          <w:szCs w:val="24"/>
        </w:rPr>
        <w:t>ļu darbinieku zināšanu uzlabojums aizdomīgu darījumu atklāšanas procesā</w:t>
      </w:r>
      <w:r w:rsidRPr="0073373A">
        <w:rPr>
          <w:rFonts w:ascii="Times New Roman" w:hAnsi="Times New Roman"/>
          <w:sz w:val="24"/>
          <w:szCs w:val="24"/>
        </w:rPr>
        <w:t>. Azartspēļu organizētāju darbinieku, kas tieši saistīti ar klientu apkalpošanu</w:t>
      </w:r>
      <w:r w:rsidR="00021194" w:rsidRPr="0073373A">
        <w:rPr>
          <w:rFonts w:ascii="Times New Roman" w:hAnsi="Times New Roman"/>
          <w:sz w:val="24"/>
          <w:szCs w:val="24"/>
        </w:rPr>
        <w:t>,</w:t>
      </w:r>
      <w:r w:rsidRPr="0073373A">
        <w:rPr>
          <w:rFonts w:ascii="Times New Roman" w:hAnsi="Times New Roman"/>
          <w:sz w:val="24"/>
          <w:szCs w:val="24"/>
        </w:rPr>
        <w:t xml:space="preserve"> </w:t>
      </w:r>
      <w:r w:rsidR="00566AFB" w:rsidRPr="0073373A">
        <w:rPr>
          <w:rFonts w:ascii="Times New Roman" w:hAnsi="Times New Roman"/>
          <w:sz w:val="24"/>
          <w:szCs w:val="24"/>
        </w:rPr>
        <w:t>s</w:t>
      </w:r>
      <w:r w:rsidRPr="0073373A">
        <w:rPr>
          <w:rFonts w:ascii="Times New Roman" w:hAnsi="Times New Roman"/>
          <w:sz w:val="24"/>
          <w:szCs w:val="24"/>
        </w:rPr>
        <w:t>pēja identificēt aizdomīgu darījumu</w:t>
      </w:r>
      <w:r w:rsidR="00021194" w:rsidRPr="0073373A">
        <w:rPr>
          <w:rFonts w:ascii="Times New Roman" w:hAnsi="Times New Roman"/>
          <w:sz w:val="24"/>
          <w:szCs w:val="24"/>
        </w:rPr>
        <w:t>s ir uzlabojusies.</w:t>
      </w:r>
      <w:r w:rsidRPr="0073373A">
        <w:rPr>
          <w:rFonts w:ascii="Times New Roman" w:hAnsi="Times New Roman"/>
          <w:sz w:val="24"/>
          <w:szCs w:val="24"/>
        </w:rPr>
        <w:t xml:space="preserve"> Aizdomīgu darījumu atklāšana neklātienes azartspēļu organizētājiem notiek rezultatīvāk, jo tie izmanto</w:t>
      </w:r>
      <w:r w:rsidR="00060339">
        <w:rPr>
          <w:rFonts w:ascii="Times New Roman" w:hAnsi="Times New Roman"/>
          <w:sz w:val="24"/>
          <w:szCs w:val="24"/>
        </w:rPr>
        <w:t xml:space="preserve"> </w:t>
      </w:r>
      <w:r w:rsidRPr="0073373A">
        <w:rPr>
          <w:rFonts w:ascii="Times New Roman" w:hAnsi="Times New Roman"/>
          <w:sz w:val="24"/>
          <w:szCs w:val="24"/>
        </w:rPr>
        <w:t>tehnoloģijas, darījumu pēctecības izsekojamībai.</w:t>
      </w:r>
      <w:r w:rsidR="006574A8" w:rsidRPr="0073373A">
        <w:rPr>
          <w:rFonts w:ascii="Times New Roman" w:hAnsi="Times New Roman"/>
          <w:sz w:val="24"/>
          <w:szCs w:val="24"/>
        </w:rPr>
        <w:t xml:space="preserve"> </w:t>
      </w:r>
    </w:p>
    <w:p w14:paraId="7D05468C" w14:textId="77777777" w:rsidR="00060339" w:rsidRDefault="00060339" w:rsidP="00C37E1F">
      <w:pPr>
        <w:pStyle w:val="Parastais"/>
        <w:spacing w:before="120" w:after="120"/>
        <w:ind w:left="142" w:firstLine="0"/>
        <w:rPr>
          <w:rFonts w:ascii="Times New Roman" w:hAnsi="Times New Roman"/>
          <w:sz w:val="24"/>
          <w:szCs w:val="24"/>
        </w:rPr>
      </w:pPr>
    </w:p>
    <w:p w14:paraId="49F6F713" w14:textId="77777777" w:rsidR="00060339" w:rsidRPr="0073373A" w:rsidRDefault="00060339" w:rsidP="00C37E1F">
      <w:pPr>
        <w:pStyle w:val="Parastais"/>
        <w:spacing w:before="120" w:after="120"/>
        <w:ind w:left="142" w:firstLine="0"/>
        <w:rPr>
          <w:rFonts w:ascii="Times New Roman" w:hAnsi="Times New Roman"/>
          <w:sz w:val="24"/>
          <w:szCs w:val="24"/>
        </w:rPr>
      </w:pPr>
    </w:p>
    <w:tbl>
      <w:tblPr>
        <w:tblStyle w:val="TableGrid"/>
        <w:tblW w:w="0" w:type="auto"/>
        <w:jc w:val="center"/>
        <w:tblLook w:val="04A0" w:firstRow="1" w:lastRow="0" w:firstColumn="1" w:lastColumn="0" w:noHBand="0" w:noVBand="1"/>
      </w:tblPr>
      <w:tblGrid>
        <w:gridCol w:w="750"/>
        <w:gridCol w:w="1890"/>
        <w:gridCol w:w="3383"/>
      </w:tblGrid>
      <w:tr w:rsidR="005F2E93" w:rsidRPr="0073373A" w14:paraId="29B8C387" w14:textId="77777777" w:rsidTr="00455B9D">
        <w:trPr>
          <w:trHeight w:val="276"/>
          <w:jc w:val="center"/>
        </w:trPr>
        <w:tc>
          <w:tcPr>
            <w:tcW w:w="0" w:type="auto"/>
            <w:shd w:val="clear" w:color="auto" w:fill="4C94D8" w:themeFill="text2" w:themeFillTint="80"/>
            <w:hideMark/>
          </w:tcPr>
          <w:p w14:paraId="17D78280" w14:textId="77777777" w:rsidR="005F2E93" w:rsidRPr="0073373A" w:rsidRDefault="005F2E93" w:rsidP="005F2E93">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lastRenderedPageBreak/>
              <w:t>Gads</w:t>
            </w:r>
          </w:p>
        </w:tc>
        <w:tc>
          <w:tcPr>
            <w:tcW w:w="0" w:type="auto"/>
            <w:shd w:val="clear" w:color="auto" w:fill="4C94D8" w:themeFill="text2" w:themeFillTint="80"/>
            <w:hideMark/>
          </w:tcPr>
          <w:p w14:paraId="41B621E5" w14:textId="77777777" w:rsidR="005F2E93" w:rsidRPr="0073373A" w:rsidRDefault="005F2E93" w:rsidP="005F2E93">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Ziņojumu skaits</w:t>
            </w:r>
          </w:p>
        </w:tc>
        <w:tc>
          <w:tcPr>
            <w:tcW w:w="0" w:type="auto"/>
            <w:shd w:val="clear" w:color="auto" w:fill="4C94D8" w:themeFill="text2" w:themeFillTint="80"/>
            <w:hideMark/>
          </w:tcPr>
          <w:p w14:paraId="033F2D48" w14:textId="77777777" w:rsidR="005F2E93" w:rsidRPr="0073373A" w:rsidRDefault="005F2E93" w:rsidP="005F2E93">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Izmaiņas pret iepriekšējo gadu</w:t>
            </w:r>
          </w:p>
        </w:tc>
      </w:tr>
      <w:tr w:rsidR="005F2E93" w:rsidRPr="0073373A" w14:paraId="08112C4D" w14:textId="77777777" w:rsidTr="005F2E93">
        <w:trPr>
          <w:trHeight w:val="276"/>
          <w:jc w:val="center"/>
        </w:trPr>
        <w:tc>
          <w:tcPr>
            <w:tcW w:w="0" w:type="auto"/>
            <w:hideMark/>
          </w:tcPr>
          <w:p w14:paraId="3031D781"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2023</w:t>
            </w:r>
          </w:p>
        </w:tc>
        <w:tc>
          <w:tcPr>
            <w:tcW w:w="0" w:type="auto"/>
            <w:hideMark/>
          </w:tcPr>
          <w:p w14:paraId="032548F5"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49</w:t>
            </w:r>
          </w:p>
        </w:tc>
        <w:tc>
          <w:tcPr>
            <w:tcW w:w="0" w:type="auto"/>
            <w:hideMark/>
          </w:tcPr>
          <w:p w14:paraId="486C915B"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w:t>
            </w:r>
          </w:p>
        </w:tc>
      </w:tr>
      <w:tr w:rsidR="005F2E93" w:rsidRPr="0073373A" w14:paraId="26922788" w14:textId="77777777" w:rsidTr="005F2E93">
        <w:trPr>
          <w:trHeight w:val="276"/>
          <w:jc w:val="center"/>
        </w:trPr>
        <w:tc>
          <w:tcPr>
            <w:tcW w:w="0" w:type="auto"/>
            <w:hideMark/>
          </w:tcPr>
          <w:p w14:paraId="15DD4118"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2024</w:t>
            </w:r>
          </w:p>
        </w:tc>
        <w:tc>
          <w:tcPr>
            <w:tcW w:w="0" w:type="auto"/>
            <w:hideMark/>
          </w:tcPr>
          <w:p w14:paraId="6416F542"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139</w:t>
            </w:r>
          </w:p>
        </w:tc>
        <w:tc>
          <w:tcPr>
            <w:tcW w:w="0" w:type="auto"/>
            <w:hideMark/>
          </w:tcPr>
          <w:p w14:paraId="5FCBC003"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+90 (+183,7%)</w:t>
            </w:r>
          </w:p>
        </w:tc>
      </w:tr>
      <w:tr w:rsidR="005F2E93" w:rsidRPr="0073373A" w14:paraId="768F46FE" w14:textId="77777777" w:rsidTr="005F2E93">
        <w:trPr>
          <w:trHeight w:val="276"/>
          <w:jc w:val="center"/>
        </w:trPr>
        <w:tc>
          <w:tcPr>
            <w:tcW w:w="0" w:type="auto"/>
            <w:hideMark/>
          </w:tcPr>
          <w:p w14:paraId="50034A39"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2025</w:t>
            </w:r>
          </w:p>
        </w:tc>
        <w:tc>
          <w:tcPr>
            <w:tcW w:w="0" w:type="auto"/>
            <w:hideMark/>
          </w:tcPr>
          <w:p w14:paraId="294340EE"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147</w:t>
            </w:r>
          </w:p>
        </w:tc>
        <w:tc>
          <w:tcPr>
            <w:tcW w:w="0" w:type="auto"/>
            <w:hideMark/>
          </w:tcPr>
          <w:p w14:paraId="141EA43C"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+8 (+5,8%)</w:t>
            </w:r>
          </w:p>
        </w:tc>
      </w:tr>
    </w:tbl>
    <w:p w14:paraId="122D10FD" w14:textId="77777777" w:rsidR="005F2E93" w:rsidRPr="0073373A" w:rsidRDefault="005F2E93" w:rsidP="00C37E1F">
      <w:pPr>
        <w:pStyle w:val="Parastais"/>
        <w:spacing w:before="120" w:after="120"/>
        <w:ind w:left="142" w:firstLine="0"/>
        <w:rPr>
          <w:rFonts w:ascii="Times New Roman" w:hAnsi="Times New Roman"/>
          <w:sz w:val="24"/>
          <w:szCs w:val="24"/>
        </w:rPr>
      </w:pPr>
    </w:p>
    <w:p w14:paraId="21F260AD" w14:textId="1AC1A6EA" w:rsidR="003F5152" w:rsidRPr="0073373A" w:rsidRDefault="006574A8" w:rsidP="00C37E1F">
      <w:pPr>
        <w:pStyle w:val="Parastais"/>
        <w:spacing w:before="120" w:after="120"/>
        <w:ind w:left="142" w:firstLine="0"/>
        <w:rPr>
          <w:rFonts w:ascii="Times New Roman" w:hAnsi="Times New Roman"/>
          <w:sz w:val="24"/>
          <w:szCs w:val="24"/>
        </w:rPr>
      </w:pPr>
      <w:r w:rsidRPr="0073373A">
        <w:rPr>
          <w:rFonts w:ascii="Times New Roman" w:hAnsi="Times New Roman"/>
          <w:sz w:val="24"/>
          <w:szCs w:val="24"/>
        </w:rPr>
        <w:t>Tāpat pieauguma tendence vērojama arī izložu un azartspēļu organizatoru sniegto sliekšņa deklarāciju skaitā, t.i. 2023.g. – 39 083 deklarācijas, 2024.g. – 42 438 deklarācijas un 2025.g. – 47 019 deklarācijas.</w:t>
      </w:r>
    </w:p>
    <w:tbl>
      <w:tblPr>
        <w:tblStyle w:val="TableGrid"/>
        <w:tblW w:w="0" w:type="auto"/>
        <w:jc w:val="center"/>
        <w:tblLook w:val="04A0" w:firstRow="1" w:lastRow="0" w:firstColumn="1" w:lastColumn="0" w:noHBand="0" w:noVBand="1"/>
      </w:tblPr>
      <w:tblGrid>
        <w:gridCol w:w="750"/>
        <w:gridCol w:w="2076"/>
        <w:gridCol w:w="3383"/>
      </w:tblGrid>
      <w:tr w:rsidR="005F2E93" w:rsidRPr="0073373A" w14:paraId="7466CBF3" w14:textId="77777777" w:rsidTr="00455B9D">
        <w:trPr>
          <w:jc w:val="center"/>
        </w:trPr>
        <w:tc>
          <w:tcPr>
            <w:tcW w:w="0" w:type="auto"/>
            <w:shd w:val="clear" w:color="auto" w:fill="4C94D8" w:themeFill="text2" w:themeFillTint="80"/>
            <w:hideMark/>
          </w:tcPr>
          <w:p w14:paraId="2089D929" w14:textId="77777777" w:rsidR="005F2E93" w:rsidRPr="0073373A" w:rsidRDefault="005F2E93" w:rsidP="005F2E93">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Gads</w:t>
            </w:r>
          </w:p>
        </w:tc>
        <w:tc>
          <w:tcPr>
            <w:tcW w:w="0" w:type="auto"/>
            <w:shd w:val="clear" w:color="auto" w:fill="4C94D8" w:themeFill="text2" w:themeFillTint="80"/>
            <w:hideMark/>
          </w:tcPr>
          <w:p w14:paraId="635CB3E3" w14:textId="77777777" w:rsidR="005F2E93" w:rsidRPr="0073373A" w:rsidRDefault="005F2E93" w:rsidP="005F2E93">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Deklarāciju skaits</w:t>
            </w:r>
          </w:p>
        </w:tc>
        <w:tc>
          <w:tcPr>
            <w:tcW w:w="0" w:type="auto"/>
            <w:shd w:val="clear" w:color="auto" w:fill="4C94D8" w:themeFill="text2" w:themeFillTint="80"/>
            <w:hideMark/>
          </w:tcPr>
          <w:p w14:paraId="766DFBEE" w14:textId="77777777" w:rsidR="005F2E93" w:rsidRPr="0073373A" w:rsidRDefault="005F2E93" w:rsidP="005F2E93">
            <w:pPr>
              <w:spacing w:line="240" w:lineRule="auto"/>
              <w:jc w:val="center"/>
              <w:rPr>
                <w:rFonts w:ascii="Times New Roman" w:eastAsia="Times New Roman" w:hAnsi="Times New Roman" w:cs="Times New Roman"/>
                <w:b/>
                <w:bCs/>
                <w:sz w:val="24"/>
                <w:szCs w:val="24"/>
                <w:lang w:eastAsia="lv-LV"/>
              </w:rPr>
            </w:pPr>
            <w:r w:rsidRPr="0073373A">
              <w:rPr>
                <w:rFonts w:ascii="Times New Roman" w:eastAsia="Times New Roman" w:hAnsi="Times New Roman" w:cs="Times New Roman"/>
                <w:b/>
                <w:bCs/>
                <w:sz w:val="24"/>
                <w:szCs w:val="24"/>
                <w:lang w:eastAsia="lv-LV"/>
              </w:rPr>
              <w:t>Izmaiņas pret iepriekšējo gadu</w:t>
            </w:r>
          </w:p>
        </w:tc>
      </w:tr>
      <w:tr w:rsidR="005F2E93" w:rsidRPr="0073373A" w14:paraId="356BDDDA" w14:textId="77777777" w:rsidTr="005F2E93">
        <w:trPr>
          <w:jc w:val="center"/>
        </w:trPr>
        <w:tc>
          <w:tcPr>
            <w:tcW w:w="0" w:type="auto"/>
            <w:hideMark/>
          </w:tcPr>
          <w:p w14:paraId="26AB1819"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2023</w:t>
            </w:r>
          </w:p>
        </w:tc>
        <w:tc>
          <w:tcPr>
            <w:tcW w:w="0" w:type="auto"/>
            <w:hideMark/>
          </w:tcPr>
          <w:p w14:paraId="0CC84370"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39 083</w:t>
            </w:r>
          </w:p>
        </w:tc>
        <w:tc>
          <w:tcPr>
            <w:tcW w:w="0" w:type="auto"/>
            <w:hideMark/>
          </w:tcPr>
          <w:p w14:paraId="79CFD6AF"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w:t>
            </w:r>
          </w:p>
        </w:tc>
      </w:tr>
      <w:tr w:rsidR="005F2E93" w:rsidRPr="0073373A" w14:paraId="4073E3B1" w14:textId="77777777" w:rsidTr="005F2E93">
        <w:trPr>
          <w:jc w:val="center"/>
        </w:trPr>
        <w:tc>
          <w:tcPr>
            <w:tcW w:w="0" w:type="auto"/>
            <w:hideMark/>
          </w:tcPr>
          <w:p w14:paraId="062ACBCA"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2024</w:t>
            </w:r>
          </w:p>
        </w:tc>
        <w:tc>
          <w:tcPr>
            <w:tcW w:w="0" w:type="auto"/>
            <w:hideMark/>
          </w:tcPr>
          <w:p w14:paraId="32D8C4D3"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42 438</w:t>
            </w:r>
          </w:p>
        </w:tc>
        <w:tc>
          <w:tcPr>
            <w:tcW w:w="0" w:type="auto"/>
            <w:hideMark/>
          </w:tcPr>
          <w:p w14:paraId="41038E38"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+3 355 (+8,6%)</w:t>
            </w:r>
          </w:p>
        </w:tc>
      </w:tr>
      <w:tr w:rsidR="005F2E93" w:rsidRPr="0073373A" w14:paraId="3AB19774" w14:textId="77777777" w:rsidTr="005F2E93">
        <w:trPr>
          <w:jc w:val="center"/>
        </w:trPr>
        <w:tc>
          <w:tcPr>
            <w:tcW w:w="0" w:type="auto"/>
            <w:hideMark/>
          </w:tcPr>
          <w:p w14:paraId="38F2E5FA"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2025</w:t>
            </w:r>
          </w:p>
        </w:tc>
        <w:tc>
          <w:tcPr>
            <w:tcW w:w="0" w:type="auto"/>
            <w:hideMark/>
          </w:tcPr>
          <w:p w14:paraId="596D7824"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47 019</w:t>
            </w:r>
          </w:p>
        </w:tc>
        <w:tc>
          <w:tcPr>
            <w:tcW w:w="0" w:type="auto"/>
            <w:hideMark/>
          </w:tcPr>
          <w:p w14:paraId="57A6F27D" w14:textId="77777777" w:rsidR="005F2E93" w:rsidRPr="0073373A" w:rsidRDefault="005F2E93" w:rsidP="005F2E93">
            <w:pPr>
              <w:spacing w:line="240" w:lineRule="auto"/>
              <w:rPr>
                <w:rFonts w:ascii="Times New Roman" w:eastAsia="Times New Roman" w:hAnsi="Times New Roman" w:cs="Times New Roman"/>
                <w:sz w:val="24"/>
                <w:szCs w:val="24"/>
                <w:lang w:eastAsia="lv-LV"/>
              </w:rPr>
            </w:pPr>
            <w:r w:rsidRPr="0073373A">
              <w:rPr>
                <w:rFonts w:ascii="Times New Roman" w:eastAsia="Times New Roman" w:hAnsi="Times New Roman" w:cs="Times New Roman"/>
                <w:sz w:val="24"/>
                <w:szCs w:val="24"/>
                <w:lang w:eastAsia="lv-LV"/>
              </w:rPr>
              <w:t>+4 581 (+10,8%)</w:t>
            </w:r>
          </w:p>
        </w:tc>
      </w:tr>
    </w:tbl>
    <w:p w14:paraId="447C56ED" w14:textId="77777777" w:rsidR="005F2E93" w:rsidRPr="0073373A" w:rsidRDefault="005F2E93" w:rsidP="00C37E1F">
      <w:pPr>
        <w:pStyle w:val="Parastais"/>
        <w:spacing w:before="120" w:after="120"/>
        <w:ind w:left="142" w:firstLine="0"/>
        <w:rPr>
          <w:rFonts w:ascii="Times New Roman" w:hAnsi="Times New Roman"/>
          <w:sz w:val="24"/>
          <w:szCs w:val="24"/>
        </w:rPr>
      </w:pPr>
    </w:p>
    <w:p w14:paraId="4E02E9F7" w14:textId="1C216C36" w:rsidR="003F5152" w:rsidRPr="0073373A" w:rsidRDefault="003F5152" w:rsidP="00C37E1F">
      <w:pPr>
        <w:pStyle w:val="Parastais"/>
        <w:spacing w:before="120" w:after="120"/>
        <w:ind w:left="142" w:firstLine="0"/>
        <w:rPr>
          <w:rFonts w:ascii="Times New Roman" w:hAnsi="Times New Roman"/>
          <w:sz w:val="24"/>
          <w:szCs w:val="24"/>
        </w:rPr>
      </w:pPr>
      <w:r w:rsidRPr="0073373A">
        <w:rPr>
          <w:rFonts w:ascii="Times New Roman" w:hAnsi="Times New Roman"/>
          <w:sz w:val="24"/>
          <w:szCs w:val="24"/>
        </w:rPr>
        <w:t>Izložu un azartspēļu organizētāji turpina veikt regulāras apmācība</w:t>
      </w:r>
      <w:r w:rsidR="00D1403F" w:rsidRPr="0073373A">
        <w:rPr>
          <w:rFonts w:ascii="Times New Roman" w:hAnsi="Times New Roman"/>
          <w:sz w:val="24"/>
          <w:szCs w:val="24"/>
        </w:rPr>
        <w:t>s</w:t>
      </w:r>
      <w:r w:rsidRPr="0073373A">
        <w:rPr>
          <w:rFonts w:ascii="Times New Roman" w:hAnsi="Times New Roman"/>
          <w:sz w:val="24"/>
          <w:szCs w:val="24"/>
        </w:rPr>
        <w:t xml:space="preserve"> un </w:t>
      </w:r>
      <w:r w:rsidR="00D1403F" w:rsidRPr="0073373A">
        <w:rPr>
          <w:rFonts w:ascii="Times New Roman" w:hAnsi="Times New Roman"/>
          <w:sz w:val="24"/>
          <w:szCs w:val="24"/>
        </w:rPr>
        <w:t xml:space="preserve">ieviesuši </w:t>
      </w:r>
      <w:r w:rsidRPr="0073373A">
        <w:rPr>
          <w:rFonts w:ascii="Times New Roman" w:hAnsi="Times New Roman"/>
          <w:sz w:val="24"/>
          <w:szCs w:val="24"/>
        </w:rPr>
        <w:t>apgūto zināšanu pēcpārbaužu kvalitāte</w:t>
      </w:r>
      <w:r w:rsidR="00021194" w:rsidRPr="0073373A">
        <w:rPr>
          <w:rFonts w:ascii="Times New Roman" w:hAnsi="Times New Roman"/>
          <w:sz w:val="24"/>
          <w:szCs w:val="24"/>
        </w:rPr>
        <w:t>s</w:t>
      </w:r>
      <w:r w:rsidR="00D1403F" w:rsidRPr="0073373A">
        <w:rPr>
          <w:rFonts w:ascii="Times New Roman" w:hAnsi="Times New Roman"/>
          <w:sz w:val="24"/>
          <w:szCs w:val="24"/>
        </w:rPr>
        <w:t xml:space="preserve"> pārbaudes</w:t>
      </w:r>
      <w:r w:rsidRPr="0073373A">
        <w:rPr>
          <w:rFonts w:ascii="Times New Roman" w:hAnsi="Times New Roman"/>
          <w:sz w:val="24"/>
          <w:szCs w:val="24"/>
        </w:rPr>
        <w:t xml:space="preserve">.  </w:t>
      </w:r>
    </w:p>
    <w:p w14:paraId="60D6960D" w14:textId="77777777" w:rsidR="003F5152" w:rsidRPr="0073373A" w:rsidRDefault="003F5152" w:rsidP="00C37E1F">
      <w:pPr>
        <w:pStyle w:val="Heading1"/>
        <w:spacing w:line="240" w:lineRule="auto"/>
        <w:rPr>
          <w:color w:val="auto"/>
          <w:sz w:val="32"/>
          <w:szCs w:val="32"/>
        </w:rPr>
      </w:pPr>
      <w:r w:rsidRPr="0073373A">
        <w:rPr>
          <w:color w:val="auto"/>
          <w:sz w:val="32"/>
          <w:szCs w:val="32"/>
        </w:rPr>
        <w:t>Sektora draudi</w:t>
      </w:r>
    </w:p>
    <w:p w14:paraId="50677FE0" w14:textId="77777777" w:rsidR="007148A4" w:rsidRPr="0073373A" w:rsidRDefault="007148A4" w:rsidP="00C37E1F">
      <w:pPr>
        <w:pStyle w:val="Parastais"/>
        <w:numPr>
          <w:ilvl w:val="0"/>
          <w:numId w:val="1"/>
        </w:numPr>
        <w:spacing w:before="120" w:after="120"/>
        <w:ind w:left="142"/>
        <w:rPr>
          <w:rFonts w:ascii="Times New Roman" w:hAnsi="Times New Roman"/>
          <w:sz w:val="24"/>
          <w:szCs w:val="24"/>
        </w:rPr>
      </w:pPr>
      <w:r w:rsidRPr="0073373A">
        <w:rPr>
          <w:rFonts w:ascii="Times New Roman" w:hAnsi="Times New Roman"/>
          <w:sz w:val="24"/>
          <w:szCs w:val="24"/>
        </w:rPr>
        <w:t>Sektora draudi.</w:t>
      </w:r>
    </w:p>
    <w:p w14:paraId="4D2D1B2A" w14:textId="1FCC4F20" w:rsidR="00253CD1" w:rsidRPr="0073373A" w:rsidRDefault="00253CD1" w:rsidP="00DD0171">
      <w:pPr>
        <w:pStyle w:val="NormalWeb"/>
        <w:ind w:left="142"/>
        <w:jc w:val="both"/>
      </w:pPr>
      <w:r w:rsidRPr="0073373A">
        <w:t xml:space="preserve">Atbilstoši nacionālajam NILLTPF riska profilam azartspēļu sektors var tikt izmantots noziedzīgi iegūtu līdzekļu legalizācijai vai maskēšanai, izmantojot spēles dalības līdzekļu iegādi un iespējamu laimestu izmaksu. </w:t>
      </w:r>
      <w:r w:rsidR="00122729" w:rsidRPr="0073373A">
        <w:t xml:space="preserve">Īpaša uzmanība tiek pievērsta klientiem ar saikni ar paaugstināta riska jurisdikcijām. </w:t>
      </w:r>
      <w:r w:rsidRPr="0073373A">
        <w:t>Būtiskākie draudi sektorā ir noziedzīgi nodarījumi nodokļu jomā, narkotisko vielu nelikumīga aprite un akcīzes preču nelikumīga aprite.</w:t>
      </w:r>
    </w:p>
    <w:p w14:paraId="2AE0E3FA" w14:textId="1EBF420E" w:rsidR="00376446" w:rsidRPr="0073373A" w:rsidRDefault="00376446" w:rsidP="00DD0171">
      <w:pPr>
        <w:pStyle w:val="NormalWeb"/>
        <w:ind w:left="142"/>
        <w:jc w:val="both"/>
      </w:pPr>
      <w:r w:rsidRPr="0073373A">
        <w:t>Ņemot vērā interaktīvo azartspēļu pieaugošo nozīmi nozarē, arvien būtiskāki kļūst arī kiberdrošības riski. Interaktīvo azartspēļu organizētāji ir atkarīgi no informācijas sistēmu nepārtrauktas darbības, datu pieejamības un drošības.</w:t>
      </w:r>
    </w:p>
    <w:p w14:paraId="1096B89A" w14:textId="77777777" w:rsidR="00376446" w:rsidRPr="0073373A" w:rsidRDefault="00376446" w:rsidP="00DD0171">
      <w:pPr>
        <w:pStyle w:val="NormalWeb"/>
        <w:ind w:left="142"/>
        <w:jc w:val="both"/>
      </w:pPr>
      <w:r w:rsidRPr="0073373A">
        <w:t>Galvenie identificētie riski ir:</w:t>
      </w:r>
    </w:p>
    <w:p w14:paraId="0134AA11" w14:textId="77777777" w:rsidR="00376446" w:rsidRPr="0073373A" w:rsidRDefault="00376446" w:rsidP="00376446">
      <w:pPr>
        <w:pStyle w:val="NormalWeb"/>
        <w:numPr>
          <w:ilvl w:val="0"/>
          <w:numId w:val="7"/>
        </w:numPr>
        <w:jc w:val="both"/>
      </w:pPr>
      <w:r w:rsidRPr="0073373A">
        <w:t>klientu identitātes viltošana;</w:t>
      </w:r>
    </w:p>
    <w:p w14:paraId="5C6CF18A" w14:textId="77777777" w:rsidR="00376446" w:rsidRPr="0073373A" w:rsidRDefault="00376446" w:rsidP="00376446">
      <w:pPr>
        <w:pStyle w:val="NormalWeb"/>
        <w:numPr>
          <w:ilvl w:val="0"/>
          <w:numId w:val="7"/>
        </w:numPr>
        <w:jc w:val="both"/>
      </w:pPr>
      <w:r w:rsidRPr="0073373A">
        <w:t>trešo personu maksāšanas līdzekļu izmantošana;</w:t>
      </w:r>
    </w:p>
    <w:p w14:paraId="5A7B3125" w14:textId="3B9A86DA" w:rsidR="00376446" w:rsidRPr="0073373A" w:rsidRDefault="00376446" w:rsidP="00376446">
      <w:pPr>
        <w:pStyle w:val="NormalWeb"/>
        <w:numPr>
          <w:ilvl w:val="0"/>
          <w:numId w:val="7"/>
        </w:numPr>
        <w:jc w:val="both"/>
      </w:pPr>
      <w:r w:rsidRPr="0073373A">
        <w:t>neatļauta piekļuve klientu kontiem.</w:t>
      </w:r>
    </w:p>
    <w:p w14:paraId="7C1665F6" w14:textId="35B55253" w:rsidR="00376446" w:rsidRPr="0073373A" w:rsidRDefault="00376446" w:rsidP="00376446">
      <w:pPr>
        <w:pStyle w:val="NormalWeb"/>
        <w:ind w:left="142"/>
        <w:jc w:val="both"/>
      </w:pPr>
      <w:r w:rsidRPr="0073373A">
        <w:t>Vienlaikus organizētāji ievieš daudzpakāpju autentifikācijas risinājumus, klientu darbību uzraudzības mehānismus, automatizētus brīdinājumus un informācijas sistēmu drošības pasākumus, kas būtiski samazina minēto risku ietekmi.</w:t>
      </w:r>
    </w:p>
    <w:p w14:paraId="1B82CCD0" w14:textId="15E511AF" w:rsidR="003F5152" w:rsidRPr="0073373A" w:rsidRDefault="003F5152" w:rsidP="0073373A">
      <w:pPr>
        <w:pStyle w:val="Heading1"/>
        <w:spacing w:line="240" w:lineRule="auto"/>
      </w:pPr>
      <w:r w:rsidRPr="0073373A">
        <w:rPr>
          <w:color w:val="auto"/>
          <w:sz w:val="32"/>
          <w:szCs w:val="32"/>
        </w:rPr>
        <w:t xml:space="preserve">Sektora riski </w:t>
      </w:r>
    </w:p>
    <w:p w14:paraId="0B40722D" w14:textId="231D36AE" w:rsidR="007949B6" w:rsidRPr="0073373A" w:rsidRDefault="00F512DC" w:rsidP="00C37E1F">
      <w:pPr>
        <w:pStyle w:val="ListParagraph"/>
        <w:numPr>
          <w:ilvl w:val="0"/>
          <w:numId w:val="1"/>
        </w:numPr>
        <w:spacing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Identificētie paņēmieni un tipoloģijas</w:t>
      </w:r>
      <w:r w:rsidR="006A3111" w:rsidRPr="0073373A">
        <w:rPr>
          <w:rFonts w:ascii="Times New Roman" w:hAnsi="Times New Roman" w:cs="Times New Roman"/>
          <w:sz w:val="24"/>
          <w:szCs w:val="24"/>
        </w:rPr>
        <w:t>.</w:t>
      </w:r>
    </w:p>
    <w:p w14:paraId="665993D4" w14:textId="1E34A3FB" w:rsidR="004729AC" w:rsidRPr="0073373A" w:rsidRDefault="004729AC" w:rsidP="00C37E1F">
      <w:pPr>
        <w:pStyle w:val="NormalWeb"/>
        <w:ind w:left="142"/>
        <w:jc w:val="both"/>
      </w:pPr>
      <w:r w:rsidRPr="0073373A">
        <w:t>Pārskata periodā IAUI nav konstatējusi gadījumus, kas liecinātu par azartspēļu sektora izmantošanu noziedzīgi iegūtu līdzekļu legalizācijai. Vienlaikus, ņemot vērā sektora pakalpojumu raksturu un darbības modeli, pastāv potenciāli NILLTPF riski.</w:t>
      </w:r>
    </w:p>
    <w:p w14:paraId="2947FE68" w14:textId="1A7A8C85" w:rsidR="004729AC" w:rsidRPr="0073373A" w:rsidRDefault="0082307F" w:rsidP="00C37E1F">
      <w:pPr>
        <w:pStyle w:val="NormalWeb"/>
        <w:numPr>
          <w:ilvl w:val="0"/>
          <w:numId w:val="5"/>
        </w:numPr>
        <w:spacing w:before="120" w:beforeAutospacing="0" w:after="120" w:afterAutospacing="0"/>
        <w:jc w:val="both"/>
      </w:pPr>
      <w:r w:rsidRPr="0073373A">
        <w:lastRenderedPageBreak/>
        <w:t>Klātienes azartspēlēs skaidras naudas izmantošana rada risku, ka noziedzīgi iegūti līdzekļi var tikt ievadīti azartspēļu apritē un integrēti, izmantojot spēles dalības līdzekļu iegādi un iespējamu laimestu izmaksu</w:t>
      </w:r>
      <w:r w:rsidR="006D794E" w:rsidRPr="0073373A">
        <w:t>.</w:t>
      </w:r>
      <w:r w:rsidR="00E17AE4" w:rsidRPr="0073373A">
        <w:t xml:space="preserve"> Šo risku mazina </w:t>
      </w:r>
      <w:r w:rsidR="00DC79B0" w:rsidRPr="0073373A">
        <w:rPr>
          <w:iCs/>
        </w:rPr>
        <w:t>normatīvais regulējums, kas  paredz skaidrās naudas darījumu ierobežošanu (līdz 7200 EUR) azartspēļu un izložu organizēšanā, kā arī klientu darījumu 2000 EUR un vairāk identificēšanu un klientu izpēti</w:t>
      </w:r>
      <w:r w:rsidR="006D794E" w:rsidRPr="0073373A">
        <w:rPr>
          <w:iCs/>
        </w:rPr>
        <w:t>;</w:t>
      </w:r>
    </w:p>
    <w:p w14:paraId="4D82204C" w14:textId="028C43AE" w:rsidR="00964CD1" w:rsidRPr="0073373A" w:rsidRDefault="00964CD1" w:rsidP="00C37E1F">
      <w:pPr>
        <w:pStyle w:val="NormalWeb"/>
        <w:numPr>
          <w:ilvl w:val="0"/>
          <w:numId w:val="5"/>
        </w:numPr>
        <w:spacing w:before="120" w:beforeAutospacing="0" w:after="120" w:afterAutospacing="0"/>
        <w:jc w:val="both"/>
      </w:pPr>
      <w:r w:rsidRPr="0073373A">
        <w:t>Pastāv risks, ka klienti var izmantot darījumu strukturēšanu, sadalot darījumus vairākās mazākās summās, lai izvairītos no noteiktajiem klienta izpētes vai darījumu uzraudzības sliekšņiem.</w:t>
      </w:r>
      <w:r w:rsidR="006D794E" w:rsidRPr="0073373A">
        <w:t xml:space="preserve"> </w:t>
      </w:r>
      <w:r w:rsidR="003C4A95" w:rsidRPr="0073373A">
        <w:t xml:space="preserve">Vienlaikus šī riska kontrolei </w:t>
      </w:r>
      <w:r w:rsidR="004E2344" w:rsidRPr="0073373A">
        <w:t xml:space="preserve">Organizētāji ieviesuši mazināšanas pasākumus, tostarp aizdomīga darījuma </w:t>
      </w:r>
      <w:r w:rsidR="007D3879" w:rsidRPr="0073373A">
        <w:t xml:space="preserve">pazīme </w:t>
      </w:r>
      <w:r w:rsidR="00F45478" w:rsidRPr="0073373A">
        <w:t xml:space="preserve">– iemaksas tuvu izpētes slieksnim un klientu kartes, </w:t>
      </w:r>
      <w:r w:rsidR="00706633" w:rsidRPr="0073373A">
        <w:t>veikto klienta darījumu uzraudzībai</w:t>
      </w:r>
      <w:r w:rsidR="00334D90" w:rsidRPr="0073373A">
        <w:t>;</w:t>
      </w:r>
      <w:r w:rsidR="00706633" w:rsidRPr="0073373A">
        <w:t xml:space="preserve"> </w:t>
      </w:r>
    </w:p>
    <w:p w14:paraId="5D5EB6F2" w14:textId="46553294" w:rsidR="001B3569" w:rsidRPr="0073373A" w:rsidRDefault="001B3569" w:rsidP="00C37E1F">
      <w:pPr>
        <w:pStyle w:val="NormalWeb"/>
        <w:numPr>
          <w:ilvl w:val="0"/>
          <w:numId w:val="5"/>
        </w:numPr>
        <w:spacing w:before="120" w:beforeAutospacing="0" w:after="120" w:afterAutospacing="0"/>
        <w:jc w:val="both"/>
      </w:pPr>
      <w:r w:rsidRPr="0073373A">
        <w:t xml:space="preserve">Interaktīvajās azartspēlēs pastāv risks, ka azartspēļu konti var tikt izmantoti līdzekļu uzglabāšanai, veicot iemaksas spēlētāja kontā un noteiktu laiku turot līdzekļus </w:t>
      </w:r>
      <w:r w:rsidR="00C93039" w:rsidRPr="0073373A">
        <w:t xml:space="preserve">tajā </w:t>
      </w:r>
      <w:r w:rsidRPr="0073373A">
        <w:t>bez būtiskas spēles aktivitātes.</w:t>
      </w:r>
      <w:r w:rsidR="00C93039" w:rsidRPr="0073373A">
        <w:t xml:space="preserve"> </w:t>
      </w:r>
      <w:r w:rsidRPr="0073373A">
        <w:t xml:space="preserve">Līdzīgs risks pastāv arī klātienes azartspēlēs gadījumos, kad klientam ir izsniegta lojalitātes karte, kurā var tikt </w:t>
      </w:r>
      <w:r w:rsidR="00C93039" w:rsidRPr="0073373A">
        <w:t>uzglabāti</w:t>
      </w:r>
      <w:r w:rsidRPr="0073373A">
        <w:t xml:space="preserve"> līdzekļi</w:t>
      </w:r>
      <w:r w:rsidR="00C93039" w:rsidRPr="0073373A">
        <w:t xml:space="preserve">. Vienlaikus šī riska ietekmi būtiski ierobežo organizētāju iekšējās kontroles sistēmās noteiktie mazināšanas pasākumi.  </w:t>
      </w:r>
    </w:p>
    <w:p w14:paraId="083ED407" w14:textId="33CE1A7E" w:rsidR="004A645E" w:rsidRPr="0073373A" w:rsidRDefault="004A645E" w:rsidP="00C37E1F">
      <w:pPr>
        <w:pStyle w:val="NormalWeb"/>
        <w:spacing w:before="120" w:beforeAutospacing="0" w:after="120" w:afterAutospacing="0"/>
        <w:ind w:left="142"/>
      </w:pPr>
      <w:r w:rsidRPr="0073373A">
        <w:t>Ņemot vērā iepriekš minētos riskus, azartspēļu sektorā identificējamas šādas tipoloģijas:</w:t>
      </w:r>
    </w:p>
    <w:p w14:paraId="6D58B5DB" w14:textId="2BD66F2D" w:rsidR="004A645E" w:rsidRPr="0073373A" w:rsidRDefault="004A645E" w:rsidP="00C37E1F">
      <w:pPr>
        <w:pStyle w:val="NormalWeb"/>
        <w:numPr>
          <w:ilvl w:val="0"/>
          <w:numId w:val="5"/>
        </w:numPr>
        <w:spacing w:before="120" w:beforeAutospacing="0" w:after="120" w:afterAutospacing="0"/>
        <w:jc w:val="both"/>
      </w:pPr>
      <w:r w:rsidRPr="0073373A">
        <w:t>Noziedzīgi iegūti līdzekļi tiek izmantoti spēles dalības līdzekļu iegādei, kam seko izmaksas laimesta formā, radot šķietamu līdzekļu legālu izcelsmi.</w:t>
      </w:r>
    </w:p>
    <w:p w14:paraId="7F457DED" w14:textId="272A9C21" w:rsidR="004A645E" w:rsidRPr="0073373A" w:rsidRDefault="004A645E" w:rsidP="00C37E1F">
      <w:pPr>
        <w:pStyle w:val="NormalWeb"/>
        <w:numPr>
          <w:ilvl w:val="0"/>
          <w:numId w:val="5"/>
        </w:numPr>
        <w:spacing w:before="120" w:beforeAutospacing="0" w:after="120" w:afterAutospacing="0"/>
        <w:jc w:val="both"/>
      </w:pPr>
      <w:r w:rsidRPr="0073373A">
        <w:t>Tiek veikta iemaksa azartspēļu kontā, pēc minimālas vai nebūtiskas piedalīšanās spēlē līdzekļi tiek izmaksāti atpakaļ uz maksāšanas kontu, iespējami sadalot izmaksas vairākos darījumos.</w:t>
      </w:r>
    </w:p>
    <w:p w14:paraId="27FCF88A" w14:textId="66F3CB01" w:rsidR="004A645E" w:rsidRPr="0073373A" w:rsidRDefault="004A645E" w:rsidP="00C37E1F">
      <w:pPr>
        <w:pStyle w:val="NormalWeb"/>
        <w:numPr>
          <w:ilvl w:val="0"/>
          <w:numId w:val="5"/>
        </w:numPr>
        <w:spacing w:before="120" w:beforeAutospacing="0" w:after="120" w:afterAutospacing="0"/>
        <w:jc w:val="both"/>
      </w:pPr>
      <w:r w:rsidRPr="0073373A">
        <w:t>Azartspēļu pakalpojumi var tikt izmantoti arī noziedzīgi iegūtu līdzekļu patēriņam, kad līdzekļi tiek izlietoti izklaides nolūkā kā dzīvesveida izdevumi.</w:t>
      </w:r>
    </w:p>
    <w:p w14:paraId="02DA3A64" w14:textId="6A766BA1" w:rsidR="006C6436" w:rsidRPr="0073373A" w:rsidRDefault="006C6436" w:rsidP="00C37E1F">
      <w:pPr>
        <w:pStyle w:val="ListParagraph"/>
        <w:numPr>
          <w:ilvl w:val="0"/>
          <w:numId w:val="1"/>
        </w:numPr>
        <w:spacing w:after="120" w:line="240" w:lineRule="auto"/>
        <w:ind w:left="142"/>
        <w:contextualSpacing w:val="0"/>
        <w:jc w:val="both"/>
        <w:rPr>
          <w:rFonts w:ascii="Times New Roman" w:hAnsi="Times New Roman" w:cs="Times New Roman"/>
          <w:sz w:val="24"/>
          <w:szCs w:val="24"/>
        </w:rPr>
      </w:pPr>
      <w:r w:rsidRPr="0073373A">
        <w:rPr>
          <w:rFonts w:ascii="Times New Roman" w:hAnsi="Times New Roman" w:cs="Times New Roman"/>
          <w:sz w:val="24"/>
          <w:szCs w:val="24"/>
        </w:rPr>
        <w:t>Riska līmeņa novērtējums.</w:t>
      </w:r>
    </w:p>
    <w:p w14:paraId="14B3F32E" w14:textId="77777777" w:rsidR="00376446" w:rsidRPr="0073373A" w:rsidRDefault="004E7E96" w:rsidP="00C37E1F">
      <w:pPr>
        <w:pStyle w:val="ListParagraph"/>
        <w:spacing w:after="120" w:line="240" w:lineRule="auto"/>
        <w:ind w:left="142"/>
        <w:contextualSpacing w:val="0"/>
        <w:jc w:val="both"/>
        <w:rPr>
          <w:rFonts w:ascii="Times New Roman" w:hAnsi="Times New Roman" w:cs="Times New Roman"/>
          <w:sz w:val="24"/>
          <w:szCs w:val="24"/>
        </w:rPr>
      </w:pPr>
      <w:r w:rsidRPr="0073373A">
        <w:rPr>
          <w:rFonts w:ascii="Times New Roman" w:hAnsi="Times New Roman" w:cs="Times New Roman"/>
          <w:sz w:val="24"/>
          <w:szCs w:val="24"/>
        </w:rPr>
        <w:t>Pārskata periodā sektora NILLTPF riska līmeņa novērtējums ir vidējs – 5 balles. Salīdzinājumā ar iepriekšējo pārskata periodu, kurā riska līmenis tika vērtēts kā vidēji augsts – 7 balles, sektora riska līmenis ir samazinājies.</w:t>
      </w:r>
      <w:r w:rsidR="00122729" w:rsidRPr="0073373A">
        <w:rPr>
          <w:rFonts w:ascii="Times New Roman" w:hAnsi="Times New Roman" w:cs="Times New Roman"/>
          <w:sz w:val="24"/>
          <w:szCs w:val="24"/>
        </w:rPr>
        <w:t xml:space="preserve"> Riska līmeņa samazinājumu pārskata periodā sekmējusi interaktīvo azartspēļu segmenta attīstība, kas nodrošina augstāku klientu identifikācijas kvalitāti, pilnīgāku darījumu izsekojamību un efektīvāku automatizētu uzraudzību. Vienlaikus sektors saglabā paaugstinātu ievainojamību klātienes segmentā, jo īpaši attiecībā uz skaidras naudas apriti un iespējamu darījumu strukturēšanu.</w:t>
      </w:r>
      <w:r w:rsidR="00436442" w:rsidRPr="0073373A">
        <w:rPr>
          <w:rFonts w:ascii="Times New Roman" w:hAnsi="Times New Roman" w:cs="Times New Roman"/>
          <w:sz w:val="24"/>
          <w:szCs w:val="24"/>
        </w:rPr>
        <w:t xml:space="preserve"> </w:t>
      </w:r>
    </w:p>
    <w:p w14:paraId="54D541F7" w14:textId="131CA8F2" w:rsidR="00376446" w:rsidRPr="0073373A" w:rsidRDefault="00376446" w:rsidP="00376446">
      <w:pPr>
        <w:pStyle w:val="ListParagraph"/>
        <w:spacing w:after="120"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Sagaidāms, ka turpmākajos gados interaktīvo azartspēļu segments turpinās palielināt savu īpatsvaru kopējos nozares ieņēmumos. Šī tendence var samazināt vairākus klātienes azartspēlēm raksturīgos riskus, vienlaikus palielinot tehnoloģisko</w:t>
      </w:r>
      <w:r w:rsidR="00DD0171" w:rsidRPr="0073373A">
        <w:rPr>
          <w:rFonts w:ascii="Times New Roman" w:hAnsi="Times New Roman" w:cs="Times New Roman"/>
          <w:sz w:val="24"/>
          <w:szCs w:val="24"/>
        </w:rPr>
        <w:t xml:space="preserve"> un </w:t>
      </w:r>
      <w:r w:rsidRPr="0073373A">
        <w:rPr>
          <w:rFonts w:ascii="Times New Roman" w:hAnsi="Times New Roman" w:cs="Times New Roman"/>
          <w:sz w:val="24"/>
          <w:szCs w:val="24"/>
        </w:rPr>
        <w:t>kiberdrošības</w:t>
      </w:r>
      <w:r w:rsidR="00DD0171" w:rsidRPr="0073373A">
        <w:rPr>
          <w:rFonts w:ascii="Times New Roman" w:hAnsi="Times New Roman" w:cs="Times New Roman"/>
          <w:sz w:val="24"/>
          <w:szCs w:val="24"/>
        </w:rPr>
        <w:t xml:space="preserve"> </w:t>
      </w:r>
      <w:r w:rsidRPr="0073373A">
        <w:rPr>
          <w:rFonts w:ascii="Times New Roman" w:hAnsi="Times New Roman" w:cs="Times New Roman"/>
          <w:sz w:val="24"/>
          <w:szCs w:val="24"/>
        </w:rPr>
        <w:t>risku nozīmi.</w:t>
      </w:r>
    </w:p>
    <w:p w14:paraId="1450885C" w14:textId="77777777" w:rsidR="00376446" w:rsidRPr="0073373A" w:rsidRDefault="00376446" w:rsidP="00376446">
      <w:pPr>
        <w:pStyle w:val="ListParagraph"/>
        <w:spacing w:after="120" w:line="240" w:lineRule="auto"/>
        <w:ind w:left="142"/>
        <w:jc w:val="both"/>
        <w:rPr>
          <w:rFonts w:ascii="Times New Roman" w:hAnsi="Times New Roman" w:cs="Times New Roman"/>
          <w:sz w:val="24"/>
          <w:szCs w:val="24"/>
        </w:rPr>
      </w:pPr>
    </w:p>
    <w:p w14:paraId="430CAF64" w14:textId="3AF4F0B6" w:rsidR="00376446" w:rsidRPr="0073373A" w:rsidRDefault="00820D7A" w:rsidP="00376446">
      <w:pPr>
        <w:pStyle w:val="ListParagraph"/>
        <w:spacing w:after="120"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Turpmākā nozares attīstība, visticamāk, būs saistīta ar vēl plašāku automatizētas analītikas izmantošanu klientu uzvedības un darījumu monitorēšanā. Jau pašreiz sektorā tiek izmantoti automatizēti uzraudzības risinājumi, savukārt nākotnē prognozējama mākslīgā intelekta un citu analītikas tehnoloģiju plašāka izmantošana. Tas varētu uzlabot spēju identificēt sarežģītākas darījumu sakarības un netipisku klientu uzvedību. Vienlaikus automatizēta sistēma pati par sevi nenodrošina pilnīgu riska novēršanu, jo tās rezultāti ir atkarīgi no izmantotajiem kritērijiem, datu kvalitātes un organizētāja spējas atbilstoši reaģēt uz identificētajām riska pazīmēm.</w:t>
      </w:r>
    </w:p>
    <w:p w14:paraId="3E5BCA15" w14:textId="77777777" w:rsidR="00820D7A" w:rsidRPr="0073373A" w:rsidRDefault="00820D7A" w:rsidP="00376446">
      <w:pPr>
        <w:pStyle w:val="ListParagraph"/>
        <w:spacing w:after="120" w:line="240" w:lineRule="auto"/>
        <w:ind w:left="142"/>
        <w:jc w:val="both"/>
        <w:rPr>
          <w:rFonts w:ascii="Times New Roman" w:hAnsi="Times New Roman" w:cs="Times New Roman"/>
          <w:sz w:val="24"/>
          <w:szCs w:val="24"/>
        </w:rPr>
      </w:pPr>
    </w:p>
    <w:p w14:paraId="18D0A26A" w14:textId="184DEC89" w:rsidR="003F5152" w:rsidRPr="0073373A" w:rsidRDefault="00376446" w:rsidP="00376446">
      <w:pPr>
        <w:pStyle w:val="ListParagraph"/>
        <w:spacing w:after="120" w:line="240" w:lineRule="auto"/>
        <w:ind w:left="142"/>
        <w:contextualSpacing w:val="0"/>
        <w:jc w:val="both"/>
        <w:rPr>
          <w:rFonts w:ascii="Times New Roman" w:hAnsi="Times New Roman" w:cs="Times New Roman"/>
          <w:sz w:val="24"/>
          <w:szCs w:val="24"/>
        </w:rPr>
      </w:pPr>
      <w:r w:rsidRPr="0073373A">
        <w:rPr>
          <w:rFonts w:ascii="Times New Roman" w:hAnsi="Times New Roman" w:cs="Times New Roman"/>
          <w:sz w:val="24"/>
          <w:szCs w:val="24"/>
        </w:rPr>
        <w:t>Ņemot vērā esošās kontroles sistēmas</w:t>
      </w:r>
      <w:r w:rsidR="00DD0171" w:rsidRPr="0073373A">
        <w:rPr>
          <w:rFonts w:ascii="Times New Roman" w:hAnsi="Times New Roman" w:cs="Times New Roman"/>
          <w:sz w:val="24"/>
          <w:szCs w:val="24"/>
        </w:rPr>
        <w:t xml:space="preserve"> </w:t>
      </w:r>
      <w:r w:rsidRPr="0073373A">
        <w:rPr>
          <w:rFonts w:ascii="Times New Roman" w:hAnsi="Times New Roman" w:cs="Times New Roman"/>
          <w:sz w:val="24"/>
          <w:szCs w:val="24"/>
        </w:rPr>
        <w:t>un identificēto pārkāpumu raksturu, nav pamata prognozēt būtisku sektora NILLTPF riska pieaugumu tuvākajā periodā. Tomēr sektors saglabās vidēja riska statusu</w:t>
      </w:r>
      <w:r w:rsidR="00DD0171" w:rsidRPr="0073373A">
        <w:rPr>
          <w:rFonts w:ascii="Times New Roman" w:hAnsi="Times New Roman" w:cs="Times New Roman"/>
          <w:sz w:val="24"/>
          <w:szCs w:val="24"/>
        </w:rPr>
        <w:t>.</w:t>
      </w:r>
      <w:r w:rsidR="00436442" w:rsidRPr="0073373A">
        <w:rPr>
          <w:rFonts w:ascii="Times New Roman" w:hAnsi="Times New Roman" w:cs="Times New Roman"/>
          <w:sz w:val="24"/>
          <w:szCs w:val="24"/>
        </w:rPr>
        <w:t xml:space="preserve"> </w:t>
      </w:r>
    </w:p>
    <w:p w14:paraId="16F37468" w14:textId="77777777" w:rsidR="003F5152" w:rsidRPr="0073373A" w:rsidRDefault="003F5152" w:rsidP="00C37E1F">
      <w:pPr>
        <w:pStyle w:val="ListParagraph"/>
        <w:numPr>
          <w:ilvl w:val="0"/>
          <w:numId w:val="1"/>
        </w:numPr>
        <w:spacing w:after="120" w:line="240" w:lineRule="auto"/>
        <w:ind w:left="142"/>
        <w:contextualSpacing w:val="0"/>
        <w:jc w:val="both"/>
        <w:rPr>
          <w:rFonts w:ascii="Times New Roman" w:hAnsi="Times New Roman" w:cs="Times New Roman"/>
          <w:sz w:val="28"/>
          <w:szCs w:val="28"/>
        </w:rPr>
      </w:pPr>
      <w:r w:rsidRPr="0073373A">
        <w:rPr>
          <w:rFonts w:ascii="Times New Roman" w:hAnsi="Times New Roman" w:cs="Times New Roman"/>
          <w:sz w:val="24"/>
          <w:szCs w:val="24"/>
        </w:rPr>
        <w:t>Izložu un azartspēļu organizētāju NILLTPF risku mazinošu pasākumu priekšlikumi:</w:t>
      </w:r>
    </w:p>
    <w:p w14:paraId="486BC569" w14:textId="47845CE9" w:rsidR="002718CD" w:rsidRPr="0073373A" w:rsidRDefault="002718CD" w:rsidP="00C37E1F">
      <w:pPr>
        <w:pStyle w:val="ListParagraph"/>
        <w:numPr>
          <w:ilvl w:val="0"/>
          <w:numId w:val="3"/>
        </w:numPr>
        <w:spacing w:after="120" w:line="240" w:lineRule="auto"/>
        <w:jc w:val="both"/>
        <w:rPr>
          <w:rFonts w:ascii="Times New Roman" w:hAnsi="Times New Roman" w:cs="Times New Roman"/>
          <w:sz w:val="24"/>
          <w:szCs w:val="24"/>
        </w:rPr>
      </w:pPr>
      <w:r w:rsidRPr="0073373A">
        <w:rPr>
          <w:rFonts w:ascii="Times New Roman" w:hAnsi="Times New Roman" w:cs="Times New Roman"/>
          <w:sz w:val="24"/>
          <w:szCs w:val="24"/>
        </w:rPr>
        <w:t>ieviest obligātu klientu reģistrāciju azartspēļu organizēšanas vietās – spēļu zālēs, totalizatora un derību likmju pieņemšanas vietās un bingo zālēs;</w:t>
      </w:r>
    </w:p>
    <w:p w14:paraId="73B2C246" w14:textId="10E7872D" w:rsidR="003F5152" w:rsidRPr="0073373A" w:rsidRDefault="002718CD" w:rsidP="00C37E1F">
      <w:pPr>
        <w:pStyle w:val="ListParagraph"/>
        <w:numPr>
          <w:ilvl w:val="0"/>
          <w:numId w:val="3"/>
        </w:numPr>
        <w:spacing w:after="120" w:line="240" w:lineRule="auto"/>
        <w:contextualSpacing w:val="0"/>
        <w:jc w:val="both"/>
        <w:rPr>
          <w:rFonts w:ascii="Times New Roman" w:hAnsi="Times New Roman" w:cs="Times New Roman"/>
          <w:sz w:val="24"/>
          <w:szCs w:val="24"/>
        </w:rPr>
      </w:pPr>
      <w:r w:rsidRPr="0073373A">
        <w:rPr>
          <w:rFonts w:ascii="Times New Roman" w:hAnsi="Times New Roman" w:cs="Times New Roman"/>
          <w:sz w:val="24"/>
          <w:szCs w:val="24"/>
        </w:rPr>
        <w:t xml:space="preserve">pilnveidot </w:t>
      </w:r>
      <w:r w:rsidR="2B8233DF" w:rsidRPr="0073373A">
        <w:rPr>
          <w:rFonts w:ascii="Times New Roman" w:hAnsi="Times New Roman" w:cs="Times New Roman"/>
          <w:sz w:val="24"/>
          <w:szCs w:val="24"/>
        </w:rPr>
        <w:t>darījumu</w:t>
      </w:r>
      <w:r w:rsidRPr="0073373A">
        <w:rPr>
          <w:rFonts w:ascii="Times New Roman" w:hAnsi="Times New Roman" w:cs="Times New Roman"/>
          <w:sz w:val="24"/>
          <w:szCs w:val="24"/>
        </w:rPr>
        <w:t xml:space="preserve"> uzskaites sistēmu, nodrošinot darījumu </w:t>
      </w:r>
      <w:r w:rsidR="00987195" w:rsidRPr="0073373A">
        <w:rPr>
          <w:rFonts w:ascii="Times New Roman" w:hAnsi="Times New Roman" w:cs="Times New Roman"/>
          <w:sz w:val="24"/>
          <w:szCs w:val="24"/>
        </w:rPr>
        <w:t>sasisti ar konkrētu personu</w:t>
      </w:r>
      <w:r w:rsidR="6B130C35" w:rsidRPr="0073373A">
        <w:rPr>
          <w:rFonts w:ascii="Times New Roman" w:hAnsi="Times New Roman" w:cs="Times New Roman"/>
          <w:sz w:val="24"/>
          <w:szCs w:val="24"/>
        </w:rPr>
        <w:t>.</w:t>
      </w:r>
    </w:p>
    <w:p w14:paraId="73F6D0EC" w14:textId="02E0E56A" w:rsidR="009A11E9" w:rsidRPr="0073373A" w:rsidRDefault="009A11E9" w:rsidP="009A11E9">
      <w:pPr>
        <w:spacing w:after="120"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Ņemot vērā kiberdrošības risku pieaugošo nozīmi, organizētājiem būtu jāturpina pilnveidot klientu kontu aizsardzības mehānismus, daudzpakāpju autentifikāciju un neatļautas piekļuves kontroles. Īpaša uzmanība būtu pievēršama trešo personu maksāšanas līdzekļu izmantošanas novēršanai un klienta identitātes drošai pārbaudei.</w:t>
      </w:r>
    </w:p>
    <w:p w14:paraId="5851EEFD" w14:textId="14FB07D5" w:rsidR="009A11E9" w:rsidRPr="009A11E9" w:rsidRDefault="009A11E9" w:rsidP="009A11E9">
      <w:pPr>
        <w:spacing w:after="120" w:line="240" w:lineRule="auto"/>
        <w:ind w:left="142"/>
        <w:jc w:val="both"/>
        <w:rPr>
          <w:rFonts w:ascii="Times New Roman" w:hAnsi="Times New Roman" w:cs="Times New Roman"/>
          <w:sz w:val="24"/>
          <w:szCs w:val="24"/>
        </w:rPr>
      </w:pPr>
      <w:r w:rsidRPr="0073373A">
        <w:rPr>
          <w:rFonts w:ascii="Times New Roman" w:hAnsi="Times New Roman" w:cs="Times New Roman"/>
          <w:sz w:val="24"/>
          <w:szCs w:val="24"/>
        </w:rPr>
        <w:t>Kopumā turpmākie risku mazināšanas pasākumi būtu vērsti uz diviem galvenajiem virzieniem – klātienes azartspēlēm raksturīgo skaidras naudas un daļējas anonimitātes risku turpmāku samazināšanu un interaktīvo azartspēļu vidē pieaugošo tehnoloģisko un kiberdrošības risku pārvaldību.</w:t>
      </w:r>
    </w:p>
    <w:p w14:paraId="380E24B8" w14:textId="77777777" w:rsidR="00987195" w:rsidRPr="00B679BF" w:rsidRDefault="00987195" w:rsidP="00C37E1F">
      <w:pPr>
        <w:pStyle w:val="ListParagraph"/>
        <w:spacing w:after="120" w:line="240" w:lineRule="auto"/>
        <w:ind w:left="862"/>
        <w:contextualSpacing w:val="0"/>
        <w:jc w:val="both"/>
        <w:rPr>
          <w:rFonts w:ascii="Times New Roman" w:hAnsi="Times New Roman" w:cs="Times New Roman"/>
        </w:rPr>
      </w:pPr>
    </w:p>
    <w:p w14:paraId="09F6DC96" w14:textId="77777777" w:rsidR="00D31484" w:rsidRDefault="00D31484" w:rsidP="00C37E1F">
      <w:pPr>
        <w:spacing w:line="240" w:lineRule="auto"/>
      </w:pPr>
    </w:p>
    <w:sectPr w:rsidR="00D31484" w:rsidSect="003F5152">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D7313" w14:textId="77777777" w:rsidR="001F4031" w:rsidRDefault="001F4031" w:rsidP="00C30010">
      <w:pPr>
        <w:spacing w:after="0" w:line="240" w:lineRule="auto"/>
      </w:pPr>
      <w:r>
        <w:separator/>
      </w:r>
    </w:p>
  </w:endnote>
  <w:endnote w:type="continuationSeparator" w:id="0">
    <w:p w14:paraId="39050597" w14:textId="77777777" w:rsidR="001F4031" w:rsidRDefault="001F4031" w:rsidP="00C30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BA33F" w14:textId="77777777" w:rsidR="001F4031" w:rsidRDefault="001F4031" w:rsidP="00C30010">
      <w:pPr>
        <w:spacing w:after="0" w:line="240" w:lineRule="auto"/>
      </w:pPr>
      <w:r>
        <w:separator/>
      </w:r>
    </w:p>
  </w:footnote>
  <w:footnote w:type="continuationSeparator" w:id="0">
    <w:p w14:paraId="072F905F" w14:textId="77777777" w:rsidR="001F4031" w:rsidRDefault="001F4031" w:rsidP="00C30010">
      <w:pPr>
        <w:spacing w:after="0" w:line="240" w:lineRule="auto"/>
      </w:pPr>
      <w:r>
        <w:continuationSeparator/>
      </w:r>
    </w:p>
  </w:footnote>
  <w:footnote w:id="1">
    <w:p w14:paraId="074751F9" w14:textId="393A6BF2" w:rsidR="00D054DA" w:rsidRDefault="00D054DA">
      <w:pPr>
        <w:pStyle w:val="FootnoteText"/>
      </w:pPr>
      <w:r>
        <w:rPr>
          <w:rStyle w:val="FootnoteReference"/>
        </w:rPr>
        <w:footnoteRef/>
      </w:r>
      <w:r>
        <w:t xml:space="preserve"> Balstoties uz organizētāju sniegto informāciju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85D6E"/>
    <w:multiLevelType w:val="multilevel"/>
    <w:tmpl w:val="4002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37EEF"/>
    <w:multiLevelType w:val="hybridMultilevel"/>
    <w:tmpl w:val="0D26F0C0"/>
    <w:lvl w:ilvl="0" w:tplc="C2AE1188">
      <w:numFmt w:val="bullet"/>
      <w:lvlText w:val="-"/>
      <w:lvlJc w:val="left"/>
      <w:pPr>
        <w:ind w:left="862" w:hanging="360"/>
      </w:pPr>
      <w:rPr>
        <w:rFonts w:ascii="Times New Roman" w:eastAsia="Times New Roman" w:hAnsi="Times New Roman" w:cs="Times New Roman" w:hint="default"/>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2" w15:restartNumberingAfterBreak="0">
    <w:nsid w:val="15B14FE1"/>
    <w:multiLevelType w:val="hybridMultilevel"/>
    <w:tmpl w:val="5630ED78"/>
    <w:lvl w:ilvl="0" w:tplc="691E3B0C">
      <w:numFmt w:val="bullet"/>
      <w:lvlText w:val="-"/>
      <w:lvlJc w:val="left"/>
      <w:pPr>
        <w:ind w:left="862" w:hanging="360"/>
      </w:pPr>
      <w:rPr>
        <w:rFonts w:ascii="Verdana" w:eastAsia="Calibri" w:hAnsi="Verdana" w:cs="Times New Roman" w:hint="default"/>
      </w:rPr>
    </w:lvl>
    <w:lvl w:ilvl="1" w:tplc="04260003">
      <w:start w:val="1"/>
      <w:numFmt w:val="bullet"/>
      <w:lvlText w:val="o"/>
      <w:lvlJc w:val="left"/>
      <w:pPr>
        <w:ind w:left="1582" w:hanging="360"/>
      </w:pPr>
      <w:rPr>
        <w:rFonts w:ascii="Courier New" w:hAnsi="Courier New" w:cs="Courier New" w:hint="default"/>
      </w:rPr>
    </w:lvl>
    <w:lvl w:ilvl="2" w:tplc="04260005">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3" w15:restartNumberingAfterBreak="0">
    <w:nsid w:val="68276C1C"/>
    <w:multiLevelType w:val="multilevel"/>
    <w:tmpl w:val="2B4A17B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60071"/>
    <w:multiLevelType w:val="multilevel"/>
    <w:tmpl w:val="D062C8F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B83B5C"/>
    <w:multiLevelType w:val="hybridMultilevel"/>
    <w:tmpl w:val="D180B3D4"/>
    <w:lvl w:ilvl="0" w:tplc="C2AE1188">
      <w:numFmt w:val="bullet"/>
      <w:lvlText w:val="-"/>
      <w:lvlJc w:val="left"/>
      <w:pPr>
        <w:ind w:left="502" w:hanging="360"/>
      </w:pPr>
      <w:rPr>
        <w:rFonts w:ascii="Times New Roman" w:eastAsia="Times New Roman" w:hAnsi="Times New Roman" w:cs="Times New Roman" w:hint="default"/>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6" w15:restartNumberingAfterBreak="0">
    <w:nsid w:val="73264E96"/>
    <w:multiLevelType w:val="hybridMultilevel"/>
    <w:tmpl w:val="8EE67B02"/>
    <w:lvl w:ilvl="0" w:tplc="7BD2ABC0">
      <w:start w:val="1"/>
      <w:numFmt w:val="decimal"/>
      <w:lvlText w:val="%1."/>
      <w:lvlJc w:val="left"/>
      <w:pPr>
        <w:ind w:left="1080" w:hanging="360"/>
      </w:pPr>
      <w:rPr>
        <w:rFonts w:ascii="Times New Roman" w:hAnsi="Times New Roman" w:cs="Times New Roman" w:hint="default"/>
        <w:b w:val="0"/>
        <w:bCs w:val="0"/>
        <w:strike w:val="0"/>
        <w:sz w:val="24"/>
        <w:szCs w:val="24"/>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470829615">
    <w:abstractNumId w:val="6"/>
  </w:num>
  <w:num w:numId="2" w16cid:durableId="1801265874">
    <w:abstractNumId w:val="2"/>
  </w:num>
  <w:num w:numId="3" w16cid:durableId="1444761668">
    <w:abstractNumId w:val="1"/>
  </w:num>
  <w:num w:numId="4" w16cid:durableId="250551431">
    <w:abstractNumId w:val="0"/>
  </w:num>
  <w:num w:numId="5" w16cid:durableId="1844197224">
    <w:abstractNumId w:val="5"/>
  </w:num>
  <w:num w:numId="6" w16cid:durableId="950697590">
    <w:abstractNumId w:val="4"/>
  </w:num>
  <w:num w:numId="7" w16cid:durableId="5064103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152"/>
    <w:rsid w:val="000154AF"/>
    <w:rsid w:val="00021194"/>
    <w:rsid w:val="00024521"/>
    <w:rsid w:val="00033B1A"/>
    <w:rsid w:val="00033B33"/>
    <w:rsid w:val="00060339"/>
    <w:rsid w:val="00080B8E"/>
    <w:rsid w:val="00094DD0"/>
    <w:rsid w:val="000970ED"/>
    <w:rsid w:val="000A20B4"/>
    <w:rsid w:val="000A3760"/>
    <w:rsid w:val="000B6DEA"/>
    <w:rsid w:val="000D0161"/>
    <w:rsid w:val="000E4189"/>
    <w:rsid w:val="001165DF"/>
    <w:rsid w:val="00122729"/>
    <w:rsid w:val="00125FE9"/>
    <w:rsid w:val="001263CF"/>
    <w:rsid w:val="00136E42"/>
    <w:rsid w:val="001651BF"/>
    <w:rsid w:val="00184245"/>
    <w:rsid w:val="00192181"/>
    <w:rsid w:val="001B3569"/>
    <w:rsid w:val="001B713F"/>
    <w:rsid w:val="001C31C1"/>
    <w:rsid w:val="001E1C63"/>
    <w:rsid w:val="001F4031"/>
    <w:rsid w:val="00214C5C"/>
    <w:rsid w:val="002233F1"/>
    <w:rsid w:val="002279F6"/>
    <w:rsid w:val="002376D9"/>
    <w:rsid w:val="00244EB7"/>
    <w:rsid w:val="00245E91"/>
    <w:rsid w:val="002513DE"/>
    <w:rsid w:val="00253CD1"/>
    <w:rsid w:val="00261D3E"/>
    <w:rsid w:val="00264113"/>
    <w:rsid w:val="00265549"/>
    <w:rsid w:val="00267CC7"/>
    <w:rsid w:val="002718CD"/>
    <w:rsid w:val="0028682B"/>
    <w:rsid w:val="00287E72"/>
    <w:rsid w:val="002B62B8"/>
    <w:rsid w:val="002B6B59"/>
    <w:rsid w:val="002B6B89"/>
    <w:rsid w:val="002C3A2D"/>
    <w:rsid w:val="002F6107"/>
    <w:rsid w:val="003010B4"/>
    <w:rsid w:val="003151CD"/>
    <w:rsid w:val="00317149"/>
    <w:rsid w:val="0032687C"/>
    <w:rsid w:val="00334D90"/>
    <w:rsid w:val="0034317D"/>
    <w:rsid w:val="00346608"/>
    <w:rsid w:val="00351F17"/>
    <w:rsid w:val="003666D9"/>
    <w:rsid w:val="00376446"/>
    <w:rsid w:val="00376714"/>
    <w:rsid w:val="00381949"/>
    <w:rsid w:val="00395BBA"/>
    <w:rsid w:val="003B5371"/>
    <w:rsid w:val="003C4A95"/>
    <w:rsid w:val="003C5394"/>
    <w:rsid w:val="003C5740"/>
    <w:rsid w:val="003E1553"/>
    <w:rsid w:val="003E4430"/>
    <w:rsid w:val="003E78D6"/>
    <w:rsid w:val="003F5152"/>
    <w:rsid w:val="003F5AF8"/>
    <w:rsid w:val="003F7FC5"/>
    <w:rsid w:val="00421300"/>
    <w:rsid w:val="004269CC"/>
    <w:rsid w:val="00436442"/>
    <w:rsid w:val="00455B9D"/>
    <w:rsid w:val="004729AC"/>
    <w:rsid w:val="00484244"/>
    <w:rsid w:val="0048787A"/>
    <w:rsid w:val="00496A58"/>
    <w:rsid w:val="004A33B6"/>
    <w:rsid w:val="004A5CA1"/>
    <w:rsid w:val="004A645E"/>
    <w:rsid w:val="004A64B4"/>
    <w:rsid w:val="004B478F"/>
    <w:rsid w:val="004D4E15"/>
    <w:rsid w:val="004D5EF2"/>
    <w:rsid w:val="004E2344"/>
    <w:rsid w:val="004E7E96"/>
    <w:rsid w:val="00500156"/>
    <w:rsid w:val="00500358"/>
    <w:rsid w:val="00505877"/>
    <w:rsid w:val="00524171"/>
    <w:rsid w:val="00554721"/>
    <w:rsid w:val="00561AED"/>
    <w:rsid w:val="00566AFB"/>
    <w:rsid w:val="00580304"/>
    <w:rsid w:val="005A492D"/>
    <w:rsid w:val="005B21F4"/>
    <w:rsid w:val="005C005C"/>
    <w:rsid w:val="005D0FCF"/>
    <w:rsid w:val="005D3D46"/>
    <w:rsid w:val="005E189D"/>
    <w:rsid w:val="005E4224"/>
    <w:rsid w:val="005F2E93"/>
    <w:rsid w:val="005F4DE6"/>
    <w:rsid w:val="00602EAA"/>
    <w:rsid w:val="006067F8"/>
    <w:rsid w:val="00611C73"/>
    <w:rsid w:val="00613F8A"/>
    <w:rsid w:val="00617049"/>
    <w:rsid w:val="00617144"/>
    <w:rsid w:val="006312C5"/>
    <w:rsid w:val="006323EF"/>
    <w:rsid w:val="00637887"/>
    <w:rsid w:val="00637A02"/>
    <w:rsid w:val="00641A38"/>
    <w:rsid w:val="00656BE2"/>
    <w:rsid w:val="006574A8"/>
    <w:rsid w:val="006773E9"/>
    <w:rsid w:val="00691576"/>
    <w:rsid w:val="006A3111"/>
    <w:rsid w:val="006B5042"/>
    <w:rsid w:val="006C6436"/>
    <w:rsid w:val="006D494C"/>
    <w:rsid w:val="006D794E"/>
    <w:rsid w:val="006E7193"/>
    <w:rsid w:val="00706633"/>
    <w:rsid w:val="00707C87"/>
    <w:rsid w:val="00710494"/>
    <w:rsid w:val="007148A4"/>
    <w:rsid w:val="00717B37"/>
    <w:rsid w:val="007230C4"/>
    <w:rsid w:val="00730134"/>
    <w:rsid w:val="00732341"/>
    <w:rsid w:val="0073373A"/>
    <w:rsid w:val="007461F8"/>
    <w:rsid w:val="00746272"/>
    <w:rsid w:val="00760A2D"/>
    <w:rsid w:val="00764292"/>
    <w:rsid w:val="007701E6"/>
    <w:rsid w:val="00792EEE"/>
    <w:rsid w:val="00793B46"/>
    <w:rsid w:val="007949B6"/>
    <w:rsid w:val="007A6E7A"/>
    <w:rsid w:val="007B4AB0"/>
    <w:rsid w:val="007B7F46"/>
    <w:rsid w:val="007C5F30"/>
    <w:rsid w:val="007D3879"/>
    <w:rsid w:val="007E3ED7"/>
    <w:rsid w:val="00820D7A"/>
    <w:rsid w:val="0082307F"/>
    <w:rsid w:val="008264BF"/>
    <w:rsid w:val="008304C2"/>
    <w:rsid w:val="00834558"/>
    <w:rsid w:val="0084070C"/>
    <w:rsid w:val="008416D7"/>
    <w:rsid w:val="00843419"/>
    <w:rsid w:val="00883250"/>
    <w:rsid w:val="00883978"/>
    <w:rsid w:val="00886106"/>
    <w:rsid w:val="008907E2"/>
    <w:rsid w:val="008A2732"/>
    <w:rsid w:val="008B36F5"/>
    <w:rsid w:val="008C5F52"/>
    <w:rsid w:val="008D12F4"/>
    <w:rsid w:val="008D71FD"/>
    <w:rsid w:val="00902686"/>
    <w:rsid w:val="009262BC"/>
    <w:rsid w:val="00934B77"/>
    <w:rsid w:val="009505A6"/>
    <w:rsid w:val="00953B34"/>
    <w:rsid w:val="009560A6"/>
    <w:rsid w:val="00964CD1"/>
    <w:rsid w:val="009815A3"/>
    <w:rsid w:val="00983271"/>
    <w:rsid w:val="00987195"/>
    <w:rsid w:val="009A11E9"/>
    <w:rsid w:val="009A3187"/>
    <w:rsid w:val="009A5939"/>
    <w:rsid w:val="009B5E23"/>
    <w:rsid w:val="009D6E95"/>
    <w:rsid w:val="009E3CFA"/>
    <w:rsid w:val="009E7A81"/>
    <w:rsid w:val="009F382E"/>
    <w:rsid w:val="009F708D"/>
    <w:rsid w:val="00A04373"/>
    <w:rsid w:val="00A0636F"/>
    <w:rsid w:val="00A12AAB"/>
    <w:rsid w:val="00A13C7F"/>
    <w:rsid w:val="00A32983"/>
    <w:rsid w:val="00A36701"/>
    <w:rsid w:val="00A9354D"/>
    <w:rsid w:val="00AA0B6E"/>
    <w:rsid w:val="00AC47D6"/>
    <w:rsid w:val="00AD2BF5"/>
    <w:rsid w:val="00AE68C5"/>
    <w:rsid w:val="00B238CD"/>
    <w:rsid w:val="00B30B57"/>
    <w:rsid w:val="00B32378"/>
    <w:rsid w:val="00B33A10"/>
    <w:rsid w:val="00B35440"/>
    <w:rsid w:val="00B37A1C"/>
    <w:rsid w:val="00B50A6D"/>
    <w:rsid w:val="00B65A81"/>
    <w:rsid w:val="00B679BF"/>
    <w:rsid w:val="00B85EC4"/>
    <w:rsid w:val="00BB3239"/>
    <w:rsid w:val="00BB597A"/>
    <w:rsid w:val="00BC1A64"/>
    <w:rsid w:val="00BD0AD0"/>
    <w:rsid w:val="00BD28F0"/>
    <w:rsid w:val="00BE6027"/>
    <w:rsid w:val="00BF0B9A"/>
    <w:rsid w:val="00BF10BD"/>
    <w:rsid w:val="00C01D62"/>
    <w:rsid w:val="00C140A8"/>
    <w:rsid w:val="00C1707B"/>
    <w:rsid w:val="00C20350"/>
    <w:rsid w:val="00C22405"/>
    <w:rsid w:val="00C30010"/>
    <w:rsid w:val="00C37E1F"/>
    <w:rsid w:val="00C43FB2"/>
    <w:rsid w:val="00C5174A"/>
    <w:rsid w:val="00C51A07"/>
    <w:rsid w:val="00C93039"/>
    <w:rsid w:val="00CA0625"/>
    <w:rsid w:val="00CB3D2F"/>
    <w:rsid w:val="00CB4183"/>
    <w:rsid w:val="00CB6B96"/>
    <w:rsid w:val="00CF37CA"/>
    <w:rsid w:val="00D054DA"/>
    <w:rsid w:val="00D12604"/>
    <w:rsid w:val="00D1403F"/>
    <w:rsid w:val="00D20996"/>
    <w:rsid w:val="00D26905"/>
    <w:rsid w:val="00D31484"/>
    <w:rsid w:val="00D37572"/>
    <w:rsid w:val="00D379A7"/>
    <w:rsid w:val="00D41126"/>
    <w:rsid w:val="00D425CB"/>
    <w:rsid w:val="00D45C8E"/>
    <w:rsid w:val="00D6458B"/>
    <w:rsid w:val="00DA2277"/>
    <w:rsid w:val="00DB1CFC"/>
    <w:rsid w:val="00DC79B0"/>
    <w:rsid w:val="00DD0171"/>
    <w:rsid w:val="00DD5795"/>
    <w:rsid w:val="00DE1237"/>
    <w:rsid w:val="00E10C5E"/>
    <w:rsid w:val="00E164C4"/>
    <w:rsid w:val="00E17625"/>
    <w:rsid w:val="00E17AE4"/>
    <w:rsid w:val="00E215B4"/>
    <w:rsid w:val="00E21B73"/>
    <w:rsid w:val="00E427FE"/>
    <w:rsid w:val="00E54B2A"/>
    <w:rsid w:val="00E5518A"/>
    <w:rsid w:val="00E57067"/>
    <w:rsid w:val="00E60C8B"/>
    <w:rsid w:val="00E62647"/>
    <w:rsid w:val="00E7774C"/>
    <w:rsid w:val="00E86A6D"/>
    <w:rsid w:val="00EA7595"/>
    <w:rsid w:val="00EA7C59"/>
    <w:rsid w:val="00ED15D7"/>
    <w:rsid w:val="00ED34C8"/>
    <w:rsid w:val="00EE3000"/>
    <w:rsid w:val="00EE4836"/>
    <w:rsid w:val="00EE5D38"/>
    <w:rsid w:val="00F0014E"/>
    <w:rsid w:val="00F1588E"/>
    <w:rsid w:val="00F30656"/>
    <w:rsid w:val="00F41E30"/>
    <w:rsid w:val="00F43AEA"/>
    <w:rsid w:val="00F45478"/>
    <w:rsid w:val="00F512DC"/>
    <w:rsid w:val="00F5193E"/>
    <w:rsid w:val="00F52160"/>
    <w:rsid w:val="00F607A4"/>
    <w:rsid w:val="00F622FF"/>
    <w:rsid w:val="00F74AB2"/>
    <w:rsid w:val="00F74F60"/>
    <w:rsid w:val="00F76854"/>
    <w:rsid w:val="00F779D6"/>
    <w:rsid w:val="00F77DB4"/>
    <w:rsid w:val="00F838B3"/>
    <w:rsid w:val="00F90FD7"/>
    <w:rsid w:val="00F978F3"/>
    <w:rsid w:val="00FC1E26"/>
    <w:rsid w:val="00FC78BD"/>
    <w:rsid w:val="00FE5F19"/>
    <w:rsid w:val="00FF266C"/>
    <w:rsid w:val="1A0DA1F2"/>
    <w:rsid w:val="1E2C3BC6"/>
    <w:rsid w:val="21B958FD"/>
    <w:rsid w:val="2B8233DF"/>
    <w:rsid w:val="34A7E7CF"/>
    <w:rsid w:val="4673150A"/>
    <w:rsid w:val="5DCD7C34"/>
    <w:rsid w:val="617A75E0"/>
    <w:rsid w:val="6AF6C650"/>
    <w:rsid w:val="6B130C3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2F568"/>
  <w15:chartTrackingRefBased/>
  <w15:docId w15:val="{AB8CC393-3D7F-42D3-A01F-EDC718DC7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152"/>
    <w:pPr>
      <w:spacing w:line="259" w:lineRule="auto"/>
    </w:pPr>
    <w:rPr>
      <w:kern w:val="0"/>
      <w:sz w:val="22"/>
      <w:szCs w:val="22"/>
      <w14:ligatures w14:val="none"/>
    </w:rPr>
  </w:style>
  <w:style w:type="paragraph" w:styleId="Heading1">
    <w:name w:val="heading 1"/>
    <w:basedOn w:val="Normal"/>
    <w:next w:val="Normal"/>
    <w:link w:val="Heading1Char"/>
    <w:uiPriority w:val="9"/>
    <w:qFormat/>
    <w:rsid w:val="003F5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5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51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1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1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1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1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1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1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1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51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51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51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1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1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1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1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152"/>
    <w:rPr>
      <w:rFonts w:eastAsiaTheme="majorEastAsia" w:cstheme="majorBidi"/>
      <w:color w:val="272727" w:themeColor="text1" w:themeTint="D8"/>
    </w:rPr>
  </w:style>
  <w:style w:type="paragraph" w:styleId="Title">
    <w:name w:val="Title"/>
    <w:basedOn w:val="Normal"/>
    <w:next w:val="Normal"/>
    <w:link w:val="TitleChar"/>
    <w:uiPriority w:val="10"/>
    <w:qFormat/>
    <w:rsid w:val="003F5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1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1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1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152"/>
    <w:pPr>
      <w:spacing w:before="160"/>
      <w:jc w:val="center"/>
    </w:pPr>
    <w:rPr>
      <w:i/>
      <w:iCs/>
      <w:color w:val="404040" w:themeColor="text1" w:themeTint="BF"/>
    </w:rPr>
  </w:style>
  <w:style w:type="character" w:customStyle="1" w:styleId="QuoteChar">
    <w:name w:val="Quote Char"/>
    <w:basedOn w:val="DefaultParagraphFont"/>
    <w:link w:val="Quote"/>
    <w:uiPriority w:val="29"/>
    <w:rsid w:val="003F5152"/>
    <w:rPr>
      <w:i/>
      <w:iCs/>
      <w:color w:val="404040" w:themeColor="text1" w:themeTint="BF"/>
    </w:rPr>
  </w:style>
  <w:style w:type="paragraph" w:styleId="ListParagraph">
    <w:name w:val="List Paragraph"/>
    <w:basedOn w:val="Normal"/>
    <w:uiPriority w:val="34"/>
    <w:qFormat/>
    <w:rsid w:val="003F5152"/>
    <w:pPr>
      <w:ind w:left="720"/>
      <w:contextualSpacing/>
    </w:pPr>
  </w:style>
  <w:style w:type="character" w:styleId="IntenseEmphasis">
    <w:name w:val="Intense Emphasis"/>
    <w:basedOn w:val="DefaultParagraphFont"/>
    <w:uiPriority w:val="21"/>
    <w:qFormat/>
    <w:rsid w:val="003F5152"/>
    <w:rPr>
      <w:i/>
      <w:iCs/>
      <w:color w:val="0F4761" w:themeColor="accent1" w:themeShade="BF"/>
    </w:rPr>
  </w:style>
  <w:style w:type="paragraph" w:styleId="IntenseQuote">
    <w:name w:val="Intense Quote"/>
    <w:basedOn w:val="Normal"/>
    <w:next w:val="Normal"/>
    <w:link w:val="IntenseQuoteChar"/>
    <w:uiPriority w:val="30"/>
    <w:qFormat/>
    <w:rsid w:val="003F5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152"/>
    <w:rPr>
      <w:i/>
      <w:iCs/>
      <w:color w:val="0F4761" w:themeColor="accent1" w:themeShade="BF"/>
    </w:rPr>
  </w:style>
  <w:style w:type="character" w:styleId="IntenseReference">
    <w:name w:val="Intense Reference"/>
    <w:basedOn w:val="DefaultParagraphFont"/>
    <w:uiPriority w:val="32"/>
    <w:qFormat/>
    <w:rsid w:val="003F5152"/>
    <w:rPr>
      <w:b/>
      <w:bCs/>
      <w:smallCaps/>
      <w:color w:val="0F4761" w:themeColor="accent1" w:themeShade="BF"/>
      <w:spacing w:val="5"/>
    </w:rPr>
  </w:style>
  <w:style w:type="paragraph" w:customStyle="1" w:styleId="Parastais">
    <w:name w:val="Parastais"/>
    <w:qFormat/>
    <w:rsid w:val="003F5152"/>
    <w:pPr>
      <w:spacing w:after="0" w:line="240" w:lineRule="auto"/>
      <w:ind w:left="1191" w:hanging="964"/>
      <w:jc w:val="both"/>
    </w:pPr>
    <w:rPr>
      <w:rFonts w:ascii="Verdana" w:eastAsia="Times New Roman" w:hAnsi="Verdana" w:cs="Times New Roman"/>
      <w:kern w:val="0"/>
      <w:sz w:val="18"/>
      <w:szCs w:val="20"/>
      <w:lang w:eastAsia="lv-LV"/>
      <w14:ligatures w14:val="none"/>
    </w:rPr>
  </w:style>
  <w:style w:type="character" w:customStyle="1" w:styleId="cf01">
    <w:name w:val="cf01"/>
    <w:basedOn w:val="DefaultParagraphFont"/>
    <w:rsid w:val="003F5152"/>
    <w:rPr>
      <w:rFonts w:ascii="Segoe UI" w:hAnsi="Segoe UI" w:cs="Segoe UI" w:hint="default"/>
      <w:sz w:val="18"/>
      <w:szCs w:val="18"/>
    </w:rPr>
  </w:style>
  <w:style w:type="paragraph" w:styleId="Header">
    <w:name w:val="header"/>
    <w:basedOn w:val="Normal"/>
    <w:link w:val="HeaderChar"/>
    <w:uiPriority w:val="99"/>
    <w:unhideWhenUsed/>
    <w:rsid w:val="00C30010"/>
    <w:pPr>
      <w:tabs>
        <w:tab w:val="center" w:pos="4153"/>
        <w:tab w:val="right" w:pos="8306"/>
      </w:tabs>
      <w:spacing w:after="0" w:line="240" w:lineRule="auto"/>
    </w:pPr>
  </w:style>
  <w:style w:type="character" w:customStyle="1" w:styleId="HeaderChar">
    <w:name w:val="Header Char"/>
    <w:basedOn w:val="DefaultParagraphFont"/>
    <w:link w:val="Header"/>
    <w:uiPriority w:val="99"/>
    <w:rsid w:val="00C30010"/>
    <w:rPr>
      <w:kern w:val="0"/>
      <w:sz w:val="22"/>
      <w:szCs w:val="22"/>
      <w14:ligatures w14:val="none"/>
    </w:rPr>
  </w:style>
  <w:style w:type="paragraph" w:styleId="Footer">
    <w:name w:val="footer"/>
    <w:basedOn w:val="Normal"/>
    <w:link w:val="FooterChar"/>
    <w:uiPriority w:val="99"/>
    <w:unhideWhenUsed/>
    <w:rsid w:val="00C30010"/>
    <w:pPr>
      <w:tabs>
        <w:tab w:val="center" w:pos="4153"/>
        <w:tab w:val="right" w:pos="8306"/>
      </w:tabs>
      <w:spacing w:after="0" w:line="240" w:lineRule="auto"/>
    </w:pPr>
  </w:style>
  <w:style w:type="character" w:customStyle="1" w:styleId="FooterChar">
    <w:name w:val="Footer Char"/>
    <w:basedOn w:val="DefaultParagraphFont"/>
    <w:link w:val="Footer"/>
    <w:uiPriority w:val="99"/>
    <w:rsid w:val="00C30010"/>
    <w:rPr>
      <w:kern w:val="0"/>
      <w:sz w:val="22"/>
      <w:szCs w:val="22"/>
      <w14:ligatures w14:val="none"/>
    </w:rPr>
  </w:style>
  <w:style w:type="paragraph" w:styleId="NormalWeb">
    <w:name w:val="Normal (Web)"/>
    <w:basedOn w:val="Normal"/>
    <w:uiPriority w:val="99"/>
    <w:semiHidden/>
    <w:unhideWhenUsed/>
    <w:rsid w:val="009F708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9F708D"/>
    <w:rPr>
      <w:b/>
      <w:bCs/>
    </w:rPr>
  </w:style>
  <w:style w:type="table" w:styleId="TableGrid">
    <w:name w:val="Table Grid"/>
    <w:basedOn w:val="TableNormal"/>
    <w:uiPriority w:val="39"/>
    <w:rsid w:val="005F2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054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54DA"/>
    <w:rPr>
      <w:kern w:val="0"/>
      <w:sz w:val="20"/>
      <w:szCs w:val="20"/>
      <w14:ligatures w14:val="none"/>
    </w:rPr>
  </w:style>
  <w:style w:type="character" w:styleId="FootnoteReference">
    <w:name w:val="footnote reference"/>
    <w:basedOn w:val="DefaultParagraphFont"/>
    <w:uiPriority w:val="99"/>
    <w:semiHidden/>
    <w:unhideWhenUsed/>
    <w:rsid w:val="00D054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85116">
      <w:bodyDiv w:val="1"/>
      <w:marLeft w:val="0"/>
      <w:marRight w:val="0"/>
      <w:marTop w:val="0"/>
      <w:marBottom w:val="0"/>
      <w:divBdr>
        <w:top w:val="none" w:sz="0" w:space="0" w:color="auto"/>
        <w:left w:val="none" w:sz="0" w:space="0" w:color="auto"/>
        <w:bottom w:val="none" w:sz="0" w:space="0" w:color="auto"/>
        <w:right w:val="none" w:sz="0" w:space="0" w:color="auto"/>
      </w:divBdr>
      <w:divsChild>
        <w:div w:id="622007851">
          <w:marLeft w:val="0"/>
          <w:marRight w:val="0"/>
          <w:marTop w:val="0"/>
          <w:marBottom w:val="0"/>
          <w:divBdr>
            <w:top w:val="none" w:sz="0" w:space="0" w:color="auto"/>
            <w:left w:val="none" w:sz="0" w:space="0" w:color="auto"/>
            <w:bottom w:val="none" w:sz="0" w:space="0" w:color="auto"/>
            <w:right w:val="none" w:sz="0" w:space="0" w:color="auto"/>
          </w:divBdr>
        </w:div>
      </w:divsChild>
    </w:div>
    <w:div w:id="178466845">
      <w:bodyDiv w:val="1"/>
      <w:marLeft w:val="0"/>
      <w:marRight w:val="0"/>
      <w:marTop w:val="0"/>
      <w:marBottom w:val="0"/>
      <w:divBdr>
        <w:top w:val="none" w:sz="0" w:space="0" w:color="auto"/>
        <w:left w:val="none" w:sz="0" w:space="0" w:color="auto"/>
        <w:bottom w:val="none" w:sz="0" w:space="0" w:color="auto"/>
        <w:right w:val="none" w:sz="0" w:space="0" w:color="auto"/>
      </w:divBdr>
    </w:div>
    <w:div w:id="270742456">
      <w:bodyDiv w:val="1"/>
      <w:marLeft w:val="0"/>
      <w:marRight w:val="0"/>
      <w:marTop w:val="0"/>
      <w:marBottom w:val="0"/>
      <w:divBdr>
        <w:top w:val="none" w:sz="0" w:space="0" w:color="auto"/>
        <w:left w:val="none" w:sz="0" w:space="0" w:color="auto"/>
        <w:bottom w:val="none" w:sz="0" w:space="0" w:color="auto"/>
        <w:right w:val="none" w:sz="0" w:space="0" w:color="auto"/>
      </w:divBdr>
      <w:divsChild>
        <w:div w:id="293996134">
          <w:marLeft w:val="0"/>
          <w:marRight w:val="0"/>
          <w:marTop w:val="0"/>
          <w:marBottom w:val="0"/>
          <w:divBdr>
            <w:top w:val="none" w:sz="0" w:space="0" w:color="auto"/>
            <w:left w:val="none" w:sz="0" w:space="0" w:color="auto"/>
            <w:bottom w:val="none" w:sz="0" w:space="0" w:color="auto"/>
            <w:right w:val="none" w:sz="0" w:space="0" w:color="auto"/>
          </w:divBdr>
        </w:div>
      </w:divsChild>
    </w:div>
    <w:div w:id="370150799">
      <w:bodyDiv w:val="1"/>
      <w:marLeft w:val="0"/>
      <w:marRight w:val="0"/>
      <w:marTop w:val="0"/>
      <w:marBottom w:val="0"/>
      <w:divBdr>
        <w:top w:val="none" w:sz="0" w:space="0" w:color="auto"/>
        <w:left w:val="none" w:sz="0" w:space="0" w:color="auto"/>
        <w:bottom w:val="none" w:sz="0" w:space="0" w:color="auto"/>
        <w:right w:val="none" w:sz="0" w:space="0" w:color="auto"/>
      </w:divBdr>
    </w:div>
    <w:div w:id="455876852">
      <w:bodyDiv w:val="1"/>
      <w:marLeft w:val="0"/>
      <w:marRight w:val="0"/>
      <w:marTop w:val="0"/>
      <w:marBottom w:val="0"/>
      <w:divBdr>
        <w:top w:val="none" w:sz="0" w:space="0" w:color="auto"/>
        <w:left w:val="none" w:sz="0" w:space="0" w:color="auto"/>
        <w:bottom w:val="none" w:sz="0" w:space="0" w:color="auto"/>
        <w:right w:val="none" w:sz="0" w:space="0" w:color="auto"/>
      </w:divBdr>
      <w:divsChild>
        <w:div w:id="2132090803">
          <w:marLeft w:val="0"/>
          <w:marRight w:val="0"/>
          <w:marTop w:val="0"/>
          <w:marBottom w:val="0"/>
          <w:divBdr>
            <w:top w:val="none" w:sz="0" w:space="0" w:color="auto"/>
            <w:left w:val="none" w:sz="0" w:space="0" w:color="auto"/>
            <w:bottom w:val="none" w:sz="0" w:space="0" w:color="auto"/>
            <w:right w:val="none" w:sz="0" w:space="0" w:color="auto"/>
          </w:divBdr>
        </w:div>
      </w:divsChild>
    </w:div>
    <w:div w:id="590239416">
      <w:bodyDiv w:val="1"/>
      <w:marLeft w:val="0"/>
      <w:marRight w:val="0"/>
      <w:marTop w:val="0"/>
      <w:marBottom w:val="0"/>
      <w:divBdr>
        <w:top w:val="none" w:sz="0" w:space="0" w:color="auto"/>
        <w:left w:val="none" w:sz="0" w:space="0" w:color="auto"/>
        <w:bottom w:val="none" w:sz="0" w:space="0" w:color="auto"/>
        <w:right w:val="none" w:sz="0" w:space="0" w:color="auto"/>
      </w:divBdr>
      <w:divsChild>
        <w:div w:id="301497634">
          <w:marLeft w:val="0"/>
          <w:marRight w:val="0"/>
          <w:marTop w:val="0"/>
          <w:marBottom w:val="0"/>
          <w:divBdr>
            <w:top w:val="none" w:sz="0" w:space="0" w:color="auto"/>
            <w:left w:val="none" w:sz="0" w:space="0" w:color="auto"/>
            <w:bottom w:val="none" w:sz="0" w:space="0" w:color="auto"/>
            <w:right w:val="none" w:sz="0" w:space="0" w:color="auto"/>
          </w:divBdr>
        </w:div>
      </w:divsChild>
    </w:div>
    <w:div w:id="763846242">
      <w:bodyDiv w:val="1"/>
      <w:marLeft w:val="0"/>
      <w:marRight w:val="0"/>
      <w:marTop w:val="0"/>
      <w:marBottom w:val="0"/>
      <w:divBdr>
        <w:top w:val="none" w:sz="0" w:space="0" w:color="auto"/>
        <w:left w:val="none" w:sz="0" w:space="0" w:color="auto"/>
        <w:bottom w:val="none" w:sz="0" w:space="0" w:color="auto"/>
        <w:right w:val="none" w:sz="0" w:space="0" w:color="auto"/>
      </w:divBdr>
      <w:divsChild>
        <w:div w:id="1179124350">
          <w:marLeft w:val="0"/>
          <w:marRight w:val="0"/>
          <w:marTop w:val="0"/>
          <w:marBottom w:val="0"/>
          <w:divBdr>
            <w:top w:val="none" w:sz="0" w:space="0" w:color="auto"/>
            <w:left w:val="none" w:sz="0" w:space="0" w:color="auto"/>
            <w:bottom w:val="none" w:sz="0" w:space="0" w:color="auto"/>
            <w:right w:val="none" w:sz="0" w:space="0" w:color="auto"/>
          </w:divBdr>
        </w:div>
      </w:divsChild>
    </w:div>
    <w:div w:id="1018504344">
      <w:bodyDiv w:val="1"/>
      <w:marLeft w:val="0"/>
      <w:marRight w:val="0"/>
      <w:marTop w:val="0"/>
      <w:marBottom w:val="0"/>
      <w:divBdr>
        <w:top w:val="none" w:sz="0" w:space="0" w:color="auto"/>
        <w:left w:val="none" w:sz="0" w:space="0" w:color="auto"/>
        <w:bottom w:val="none" w:sz="0" w:space="0" w:color="auto"/>
        <w:right w:val="none" w:sz="0" w:space="0" w:color="auto"/>
      </w:divBdr>
    </w:div>
    <w:div w:id="1128476876">
      <w:bodyDiv w:val="1"/>
      <w:marLeft w:val="0"/>
      <w:marRight w:val="0"/>
      <w:marTop w:val="0"/>
      <w:marBottom w:val="0"/>
      <w:divBdr>
        <w:top w:val="none" w:sz="0" w:space="0" w:color="auto"/>
        <w:left w:val="none" w:sz="0" w:space="0" w:color="auto"/>
        <w:bottom w:val="none" w:sz="0" w:space="0" w:color="auto"/>
        <w:right w:val="none" w:sz="0" w:space="0" w:color="auto"/>
      </w:divBdr>
    </w:div>
    <w:div w:id="1200701214">
      <w:bodyDiv w:val="1"/>
      <w:marLeft w:val="0"/>
      <w:marRight w:val="0"/>
      <w:marTop w:val="0"/>
      <w:marBottom w:val="0"/>
      <w:divBdr>
        <w:top w:val="none" w:sz="0" w:space="0" w:color="auto"/>
        <w:left w:val="none" w:sz="0" w:space="0" w:color="auto"/>
        <w:bottom w:val="none" w:sz="0" w:space="0" w:color="auto"/>
        <w:right w:val="none" w:sz="0" w:space="0" w:color="auto"/>
      </w:divBdr>
      <w:divsChild>
        <w:div w:id="1339965753">
          <w:marLeft w:val="0"/>
          <w:marRight w:val="0"/>
          <w:marTop w:val="0"/>
          <w:marBottom w:val="0"/>
          <w:divBdr>
            <w:top w:val="none" w:sz="0" w:space="0" w:color="auto"/>
            <w:left w:val="none" w:sz="0" w:space="0" w:color="auto"/>
            <w:bottom w:val="none" w:sz="0" w:space="0" w:color="auto"/>
            <w:right w:val="none" w:sz="0" w:space="0" w:color="auto"/>
          </w:divBdr>
        </w:div>
      </w:divsChild>
    </w:div>
    <w:div w:id="1310741707">
      <w:bodyDiv w:val="1"/>
      <w:marLeft w:val="0"/>
      <w:marRight w:val="0"/>
      <w:marTop w:val="0"/>
      <w:marBottom w:val="0"/>
      <w:divBdr>
        <w:top w:val="none" w:sz="0" w:space="0" w:color="auto"/>
        <w:left w:val="none" w:sz="0" w:space="0" w:color="auto"/>
        <w:bottom w:val="none" w:sz="0" w:space="0" w:color="auto"/>
        <w:right w:val="none" w:sz="0" w:space="0" w:color="auto"/>
      </w:divBdr>
    </w:div>
    <w:div w:id="1367558982">
      <w:bodyDiv w:val="1"/>
      <w:marLeft w:val="0"/>
      <w:marRight w:val="0"/>
      <w:marTop w:val="0"/>
      <w:marBottom w:val="0"/>
      <w:divBdr>
        <w:top w:val="none" w:sz="0" w:space="0" w:color="auto"/>
        <w:left w:val="none" w:sz="0" w:space="0" w:color="auto"/>
        <w:bottom w:val="none" w:sz="0" w:space="0" w:color="auto"/>
        <w:right w:val="none" w:sz="0" w:space="0" w:color="auto"/>
      </w:divBdr>
      <w:divsChild>
        <w:div w:id="1134830573">
          <w:marLeft w:val="0"/>
          <w:marRight w:val="0"/>
          <w:marTop w:val="0"/>
          <w:marBottom w:val="0"/>
          <w:divBdr>
            <w:top w:val="none" w:sz="0" w:space="0" w:color="auto"/>
            <w:left w:val="none" w:sz="0" w:space="0" w:color="auto"/>
            <w:bottom w:val="none" w:sz="0" w:space="0" w:color="auto"/>
            <w:right w:val="none" w:sz="0" w:space="0" w:color="auto"/>
          </w:divBdr>
        </w:div>
      </w:divsChild>
    </w:div>
    <w:div w:id="1422798128">
      <w:bodyDiv w:val="1"/>
      <w:marLeft w:val="0"/>
      <w:marRight w:val="0"/>
      <w:marTop w:val="0"/>
      <w:marBottom w:val="0"/>
      <w:divBdr>
        <w:top w:val="none" w:sz="0" w:space="0" w:color="auto"/>
        <w:left w:val="none" w:sz="0" w:space="0" w:color="auto"/>
        <w:bottom w:val="none" w:sz="0" w:space="0" w:color="auto"/>
        <w:right w:val="none" w:sz="0" w:space="0" w:color="auto"/>
      </w:divBdr>
      <w:divsChild>
        <w:div w:id="840780901">
          <w:marLeft w:val="0"/>
          <w:marRight w:val="0"/>
          <w:marTop w:val="0"/>
          <w:marBottom w:val="0"/>
          <w:divBdr>
            <w:top w:val="none" w:sz="0" w:space="0" w:color="auto"/>
            <w:left w:val="none" w:sz="0" w:space="0" w:color="auto"/>
            <w:bottom w:val="none" w:sz="0" w:space="0" w:color="auto"/>
            <w:right w:val="none" w:sz="0" w:space="0" w:color="auto"/>
          </w:divBdr>
        </w:div>
      </w:divsChild>
    </w:div>
    <w:div w:id="1600092042">
      <w:bodyDiv w:val="1"/>
      <w:marLeft w:val="0"/>
      <w:marRight w:val="0"/>
      <w:marTop w:val="0"/>
      <w:marBottom w:val="0"/>
      <w:divBdr>
        <w:top w:val="none" w:sz="0" w:space="0" w:color="auto"/>
        <w:left w:val="none" w:sz="0" w:space="0" w:color="auto"/>
        <w:bottom w:val="none" w:sz="0" w:space="0" w:color="auto"/>
        <w:right w:val="none" w:sz="0" w:space="0" w:color="auto"/>
      </w:divBdr>
      <w:divsChild>
        <w:div w:id="2005358417">
          <w:marLeft w:val="0"/>
          <w:marRight w:val="0"/>
          <w:marTop w:val="0"/>
          <w:marBottom w:val="0"/>
          <w:divBdr>
            <w:top w:val="none" w:sz="0" w:space="0" w:color="auto"/>
            <w:left w:val="none" w:sz="0" w:space="0" w:color="auto"/>
            <w:bottom w:val="none" w:sz="0" w:space="0" w:color="auto"/>
            <w:right w:val="none" w:sz="0" w:space="0" w:color="auto"/>
          </w:divBdr>
        </w:div>
      </w:divsChild>
    </w:div>
    <w:div w:id="1835486316">
      <w:bodyDiv w:val="1"/>
      <w:marLeft w:val="0"/>
      <w:marRight w:val="0"/>
      <w:marTop w:val="0"/>
      <w:marBottom w:val="0"/>
      <w:divBdr>
        <w:top w:val="none" w:sz="0" w:space="0" w:color="auto"/>
        <w:left w:val="none" w:sz="0" w:space="0" w:color="auto"/>
        <w:bottom w:val="none" w:sz="0" w:space="0" w:color="auto"/>
        <w:right w:val="none" w:sz="0" w:space="0" w:color="auto"/>
      </w:divBdr>
    </w:div>
    <w:div w:id="207134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90cde85-e04c-4fda-b7e2-ed5d949d053c">
      <Terms xmlns="http://schemas.microsoft.com/office/infopath/2007/PartnerControls"/>
    </lcf76f155ced4ddcb4097134ff3c332f>
    <TaxCatchAll xmlns="08432408-ffd1-4399-b409-dd8b7dd2915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66B7BF5ED114844FA2864FE8CA49C177" ma:contentTypeVersion="16" ma:contentTypeDescription="Izveidot jaunu dokumentu." ma:contentTypeScope="" ma:versionID="f51af9c046ef9de59f956ed4a3571dd9">
  <xsd:schema xmlns:xsd="http://www.w3.org/2001/XMLSchema" xmlns:xs="http://www.w3.org/2001/XMLSchema" xmlns:p="http://schemas.microsoft.com/office/2006/metadata/properties" xmlns:ns1="http://schemas.microsoft.com/sharepoint/v3" xmlns:ns2="c90cde85-e04c-4fda-b7e2-ed5d949d053c" xmlns:ns3="08432408-ffd1-4399-b409-dd8b7dd2915d" targetNamespace="http://schemas.microsoft.com/office/2006/metadata/properties" ma:root="true" ma:fieldsID="edfaa0d04c5fb869d98cb0944001070a" ns1:_="" ns2:_="" ns3:_="">
    <xsd:import namespace="http://schemas.microsoft.com/sharepoint/v3"/>
    <xsd:import namespace="c90cde85-e04c-4fda-b7e2-ed5d949d053c"/>
    <xsd:import namespace="08432408-ffd1-4399-b409-dd8b7dd291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Vienotās atbilstības politikas rekvizīti" ma:hidden="true" ma:internalName="_ip_UnifiedCompliancePolicyProperties">
      <xsd:simpleType>
        <xsd:restriction base="dms:Note"/>
      </xsd:simpleType>
    </xsd:element>
    <xsd:element name="_ip_UnifiedCompliancePolicyUIAction" ma:index="14"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0cde85-e04c-4fda-b7e2-ed5d949d0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432408-ffd1-4399-b409-dd8b7dd2915d"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0dc86593-6220-4f42-8a82-0ee3dbced8f8}" ma:internalName="TaxCatchAll" ma:showField="CatchAllData" ma:web="08432408-ffd1-4399-b409-dd8b7dd291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13B8A4-7D5D-42FA-A8C0-1B9EC83D25C0}">
  <ds:schemaRefs>
    <ds:schemaRef ds:uri="http://schemas.openxmlformats.org/officeDocument/2006/bibliography"/>
  </ds:schemaRefs>
</ds:datastoreItem>
</file>

<file path=customXml/itemProps2.xml><?xml version="1.0" encoding="utf-8"?>
<ds:datastoreItem xmlns:ds="http://schemas.openxmlformats.org/officeDocument/2006/customXml" ds:itemID="{CE2C07DA-3687-484C-922F-FF48AD4FD480}">
  <ds:schemaRefs>
    <ds:schemaRef ds:uri="http://schemas.microsoft.com/sharepoint/v3/contenttype/forms"/>
  </ds:schemaRefs>
</ds:datastoreItem>
</file>

<file path=customXml/itemProps3.xml><?xml version="1.0" encoding="utf-8"?>
<ds:datastoreItem xmlns:ds="http://schemas.openxmlformats.org/officeDocument/2006/customXml" ds:itemID="{76B2BE9E-084E-4AAB-81CB-35EE0DA0DCEC}">
  <ds:schemaRefs>
    <ds:schemaRef ds:uri="http://schemas.microsoft.com/office/2006/metadata/properties"/>
    <ds:schemaRef ds:uri="http://schemas.microsoft.com/office/infopath/2007/PartnerControls"/>
    <ds:schemaRef ds:uri="http://schemas.microsoft.com/sharepoint/v3"/>
    <ds:schemaRef ds:uri="c90cde85-e04c-4fda-b7e2-ed5d949d053c"/>
    <ds:schemaRef ds:uri="08432408-ffd1-4399-b409-dd8b7dd2915d"/>
  </ds:schemaRefs>
</ds:datastoreItem>
</file>

<file path=customXml/itemProps4.xml><?xml version="1.0" encoding="utf-8"?>
<ds:datastoreItem xmlns:ds="http://schemas.openxmlformats.org/officeDocument/2006/customXml" ds:itemID="{33A7E2AB-4E46-4EB9-8A02-ED8218693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0cde85-e04c-4fda-b7e2-ed5d949d053c"/>
    <ds:schemaRef ds:uri="08432408-ffd1-4399-b409-dd8b7dd29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13177</Words>
  <Characters>7511</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Nadežda Stepanova</dc:creator>
  <cp:keywords/>
  <dc:description/>
  <cp:lastModifiedBy>Gundega Ludrika</cp:lastModifiedBy>
  <cp:revision>2</cp:revision>
  <dcterms:created xsi:type="dcterms:W3CDTF">2026-09-25T08:24:00Z</dcterms:created>
  <dcterms:modified xsi:type="dcterms:W3CDTF">2026-09-25T08:24:00Z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0x01010066B7BF5ED114844FA2864FE8CA49C177</vt:lpwstr>
  </property>
  <property fmtid="{D5CDD505-2E9C-101B-9397-08002B2CF9AE}" pid="3" name="MediaServiceImageTags">
    <vt:lpwstr/>
  </property>
</Properties>
</file>